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AC0AEA" w14:paraId="2701BCB9" w14:textId="77777777">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AC0AEA" w14:paraId="178FE642"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AC0AEA" w14:paraId="773D112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AC0AEA" w14:paraId="4C638E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C0AEA" w14:paraId="4ED6F588" w14:textId="77777777">
                                <w:tc>
                                  <w:tcPr>
                                    <w:tcW w:w="0" w:type="auto"/>
                                    <w:tcMar>
                                      <w:top w:w="0" w:type="dxa"/>
                                      <w:left w:w="135" w:type="dxa"/>
                                      <w:bottom w:w="0" w:type="dxa"/>
                                      <w:right w:w="135" w:type="dxa"/>
                                    </w:tcMar>
                                    <w:hideMark/>
                                  </w:tcPr>
                                  <w:p w14:paraId="36E01D75" w14:textId="2F0E24EF" w:rsidR="00AC0AEA" w:rsidRDefault="00AC0AEA">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5E460E2F" wp14:editId="1ECA1E96">
                                          <wp:extent cx="5727700" cy="1261745"/>
                                          <wp:effectExtent l="0" t="0" r="0" b="0"/>
                                          <wp:docPr id="233048616" name="Picture 2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48616" name="Picture 22" descr="Blue text on a black backgroun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fldChar w:fldCharType="end"/>
                                    </w:r>
                                  </w:p>
                                </w:tc>
                              </w:tr>
                            </w:tbl>
                            <w:p w14:paraId="27964F0E" w14:textId="77777777" w:rsidR="00AC0AEA" w:rsidRDefault="00AC0AEA"/>
                          </w:tc>
                        </w:tr>
                      </w:tbl>
                      <w:p w14:paraId="224F2FE6"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488581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734C00BF" w14:textId="77777777">
                                <w:tc>
                                  <w:tcPr>
                                    <w:tcW w:w="0" w:type="auto"/>
                                    <w:tcMar>
                                      <w:top w:w="0" w:type="dxa"/>
                                      <w:left w:w="270" w:type="dxa"/>
                                      <w:bottom w:w="135" w:type="dxa"/>
                                      <w:right w:w="270" w:type="dxa"/>
                                    </w:tcMar>
                                    <w:hideMark/>
                                  </w:tcPr>
                                  <w:p w14:paraId="52ED43B9" w14:textId="77777777" w:rsidR="00AC0AEA" w:rsidRDefault="00AC0AE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111 of:</w:t>
                                    </w:r>
                                  </w:p>
                                </w:tc>
                              </w:tr>
                            </w:tbl>
                            <w:p w14:paraId="45C598D8" w14:textId="77777777" w:rsidR="00AC0AEA" w:rsidRDefault="00AC0AEA">
                              <w:pPr>
                                <w:rPr>
                                  <w:rFonts w:ascii="Times New Roman" w:hAnsi="Times New Roman"/>
                                </w:rPr>
                              </w:pPr>
                            </w:p>
                          </w:tc>
                        </w:tr>
                      </w:tbl>
                      <w:p w14:paraId="44BBFB25"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4E5802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2F01F2F8" w14:textId="77777777">
                                <w:tc>
                                  <w:tcPr>
                                    <w:tcW w:w="0" w:type="auto"/>
                                    <w:hideMark/>
                                  </w:tcPr>
                                  <w:p w14:paraId="7A9E8930" w14:textId="6334D11A" w:rsidR="00AC0AEA" w:rsidRDefault="00AC0AEA">
                                    <w:pPr>
                                      <w:jc w:val="center"/>
                                    </w:pPr>
                                    <w:r>
                                      <w:fldChar w:fldCharType="begin"/>
                                    </w:r>
                                    <w:r>
                                      <w:instrText xml:space="preserve"> INCLUDEPICTURE "https://mcusercontent.com/0e9feb1606f1b4129a8b65828/images/25e5ae42-288e-0014-e802-72be3a6a90d0.png" \* MERGEFORMATINET </w:instrText>
                                    </w:r>
                                    <w:r>
                                      <w:fldChar w:fldCharType="separate"/>
                                    </w:r>
                                    <w:r>
                                      <w:rPr>
                                        <w:noProof/>
                                      </w:rPr>
                                      <w:drawing>
                                        <wp:inline distT="0" distB="0" distL="0" distR="0" wp14:anchorId="409B1450" wp14:editId="15290F18">
                                          <wp:extent cx="5727700" cy="3200400"/>
                                          <wp:effectExtent l="0" t="0" r="0" b="0"/>
                                          <wp:docPr id="221192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200400"/>
                                                  </a:xfrm>
                                                  <a:prstGeom prst="rect">
                                                    <a:avLst/>
                                                  </a:prstGeom>
                                                  <a:noFill/>
                                                  <a:ln>
                                                    <a:noFill/>
                                                  </a:ln>
                                                </pic:spPr>
                                              </pic:pic>
                                            </a:graphicData>
                                          </a:graphic>
                                        </wp:inline>
                                      </w:drawing>
                                    </w:r>
                                    <w:r>
                                      <w:fldChar w:fldCharType="end"/>
                                    </w:r>
                                  </w:p>
                                </w:tc>
                              </w:tr>
                            </w:tbl>
                            <w:p w14:paraId="78D2E995" w14:textId="77777777" w:rsidR="00AC0AEA" w:rsidRDefault="00AC0AEA"/>
                          </w:tc>
                        </w:tr>
                      </w:tbl>
                      <w:p w14:paraId="2177D2DF"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0835EBA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C0AEA" w14:paraId="3F32EC6B" w14:textId="77777777">
                                <w:tc>
                                  <w:tcPr>
                                    <w:tcW w:w="0" w:type="auto"/>
                                    <w:vAlign w:val="center"/>
                                    <w:hideMark/>
                                  </w:tcPr>
                                  <w:p w14:paraId="0CE16D83" w14:textId="77777777" w:rsidR="00AC0AEA" w:rsidRDefault="00AC0AEA"/>
                                </w:tc>
                              </w:tr>
                            </w:tbl>
                            <w:p w14:paraId="1FA496B2" w14:textId="77777777" w:rsidR="00AC0AEA" w:rsidRDefault="00AC0AEA"/>
                          </w:tc>
                        </w:tr>
                      </w:tbl>
                      <w:p w14:paraId="179D4579"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42EE18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0EBC177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C0AEA" w14:paraId="2E1B16CD" w14:textId="77777777">
                                      <w:tc>
                                        <w:tcPr>
                                          <w:tcW w:w="0" w:type="auto"/>
                                          <w:shd w:val="clear" w:color="auto" w:fill="4B6AA2"/>
                                          <w:tcMar>
                                            <w:top w:w="270" w:type="dxa"/>
                                            <w:left w:w="270" w:type="dxa"/>
                                            <w:bottom w:w="270" w:type="dxa"/>
                                            <w:right w:w="270" w:type="dxa"/>
                                          </w:tcMar>
                                          <w:hideMark/>
                                        </w:tcPr>
                                        <w:p w14:paraId="077EFF76" w14:textId="77777777" w:rsidR="00AC0AEA" w:rsidRDefault="00AC0AE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0469482" w14:textId="77777777" w:rsidR="00AC0AEA" w:rsidRDefault="00AC0AEA">
                                    <w:pPr>
                                      <w:rPr>
                                        <w:rFonts w:ascii="Times New Roman" w:hAnsi="Times New Roman"/>
                                      </w:rPr>
                                    </w:pPr>
                                  </w:p>
                                </w:tc>
                              </w:tr>
                            </w:tbl>
                            <w:p w14:paraId="60DE1590" w14:textId="77777777" w:rsidR="00AC0AEA" w:rsidRDefault="00AC0AEA"/>
                          </w:tc>
                        </w:tr>
                      </w:tbl>
                      <w:p w14:paraId="432F6CAD"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2DC706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69B087A9" w14:textId="77777777">
                                <w:tc>
                                  <w:tcPr>
                                    <w:tcW w:w="0" w:type="auto"/>
                                    <w:tcMar>
                                      <w:top w:w="0" w:type="dxa"/>
                                      <w:left w:w="270" w:type="dxa"/>
                                      <w:bottom w:w="135" w:type="dxa"/>
                                      <w:right w:w="270" w:type="dxa"/>
                                    </w:tcMar>
                                    <w:hideMark/>
                                  </w:tcPr>
                                  <w:p w14:paraId="0D68F1D5" w14:textId="77777777" w:rsidR="00AC0AEA" w:rsidRDefault="00AC0AEA">
                                    <w:pPr>
                                      <w:spacing w:line="360" w:lineRule="atLeast"/>
                                      <w:jc w:val="both"/>
                                      <w:rPr>
                                        <w:rFonts w:ascii="Verdana" w:hAnsi="Verdana"/>
                                        <w:color w:val="222222"/>
                                      </w:rPr>
                                    </w:pPr>
                                    <w:r>
                                      <w:rPr>
                                        <w:rFonts w:ascii="Helvetica Neue" w:hAnsi="Helvetica Neue"/>
                                        <w:color w:val="222222"/>
                                        <w:sz w:val="18"/>
                                        <w:szCs w:val="18"/>
                                      </w:rPr>
                                      <w:t>​​Twice a month, some of our Councillors and interns share a selection of articles, analytical pieces, videos, and podcasts about what is happening in international affairs. This week Ian Lincoln explores miscalculations in US intelligence on Iran’s regional reach and the risks to global oil flows in its current war on Iran. Jocelyn Chey reveals the hidden relationship between the wind and international relations. </w:t>
                                    </w:r>
                                  </w:p>
                                  <w:p w14:paraId="0E1228B6" w14:textId="77777777" w:rsidR="00AC0AEA" w:rsidRDefault="00AC0AEA">
                                    <w:pPr>
                                      <w:spacing w:line="360" w:lineRule="atLeast"/>
                                      <w:rPr>
                                        <w:rFonts w:ascii="Verdana" w:hAnsi="Verdana"/>
                                        <w:color w:val="222222"/>
                                      </w:rPr>
                                    </w:pP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34514B6B" w14:textId="77777777" w:rsidR="00AC0AEA" w:rsidRDefault="00AC0AEA">
                              <w:pPr>
                                <w:rPr>
                                  <w:rFonts w:ascii="Times New Roman" w:hAnsi="Times New Roman"/>
                                </w:rPr>
                              </w:pPr>
                            </w:p>
                          </w:tc>
                        </w:tr>
                      </w:tbl>
                      <w:p w14:paraId="474BE3FE"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15E6DA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6A9ABA25" w14:textId="77777777">
                                <w:tc>
                                  <w:tcPr>
                                    <w:tcW w:w="0" w:type="auto"/>
                                    <w:vAlign w:val="center"/>
                                    <w:hideMark/>
                                  </w:tcPr>
                                  <w:p w14:paraId="457668AE" w14:textId="77777777" w:rsidR="00AC0AEA" w:rsidRDefault="00AC0AEA"/>
                                </w:tc>
                              </w:tr>
                            </w:tbl>
                            <w:p w14:paraId="4CE3FC9A" w14:textId="77777777" w:rsidR="00AC0AEA" w:rsidRDefault="00AC0AEA"/>
                          </w:tc>
                        </w:tr>
                      </w:tbl>
                      <w:p w14:paraId="7EA13AA3"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EEF95F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C0AEA" w14:paraId="428AE3C1" w14:textId="77777777">
                                <w:tc>
                                  <w:tcPr>
                                    <w:tcW w:w="0" w:type="auto"/>
                                    <w:tcMar>
                                      <w:top w:w="0" w:type="dxa"/>
                                      <w:left w:w="135" w:type="dxa"/>
                                      <w:bottom w:w="135" w:type="dxa"/>
                                      <w:right w:w="135" w:type="dxa"/>
                                    </w:tcMar>
                                    <w:hideMark/>
                                  </w:tcPr>
                                  <w:p w14:paraId="0A538E68" w14:textId="079B3661" w:rsidR="00AC0AEA" w:rsidRDefault="00AC0AEA">
                                    <w:r>
                                      <w:lastRenderedPageBreak/>
                                      <w:fldChar w:fldCharType="begin"/>
                                    </w:r>
                                    <w:r>
                                      <w:instrText xml:space="preserve"> INCLUDEPICTURE "https://mcusercontent.com/0e9feb1606f1b4129a8b65828/images/b6f2e4d8-0c40-5606-d548-f89eb76d21cf.jpg" \* MERGEFORMATINET </w:instrText>
                                    </w:r>
                                    <w:r>
                                      <w:fldChar w:fldCharType="separate"/>
                                    </w:r>
                                    <w:r>
                                      <w:rPr>
                                        <w:noProof/>
                                      </w:rPr>
                                      <w:drawing>
                                        <wp:inline distT="0" distB="0" distL="0" distR="0" wp14:anchorId="186728D7" wp14:editId="3208686F">
                                          <wp:extent cx="5727700" cy="3221355"/>
                                          <wp:effectExtent l="0" t="0" r="0" b="4445"/>
                                          <wp:docPr id="1048716991" name="Picture 20" descr="Former US embassy in Teh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er US embassy in Tehr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fldChar w:fldCharType="end"/>
                                    </w:r>
                                  </w:p>
                                </w:tc>
                              </w:tr>
                              <w:tr w:rsidR="00AC0AEA" w14:paraId="1A7A9BB9" w14:textId="77777777">
                                <w:tc>
                                  <w:tcPr>
                                    <w:tcW w:w="8460" w:type="dxa"/>
                                    <w:tcMar>
                                      <w:top w:w="0" w:type="dxa"/>
                                      <w:left w:w="135" w:type="dxa"/>
                                      <w:bottom w:w="0" w:type="dxa"/>
                                      <w:right w:w="135" w:type="dxa"/>
                                    </w:tcMar>
                                    <w:hideMark/>
                                  </w:tcPr>
                                  <w:p w14:paraId="655030E3" w14:textId="77777777" w:rsidR="00AC0AEA" w:rsidRDefault="00AC0AEA">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Strong"/>
                                          <w:rFonts w:ascii="Helvetica Neue" w:hAnsi="Helvetica Neue" w:cs="Arial"/>
                                          <w:b/>
                                          <w:bCs/>
                                          <w:color w:val="4C6AA2"/>
                                          <w:spacing w:val="-15"/>
                                          <w:sz w:val="30"/>
                                          <w:szCs w:val="30"/>
                                        </w:rPr>
                                        <w:t>Stalemate in Iran</w:t>
                                      </w:r>
                                    </w:hyperlink>
                                  </w:p>
                                  <w:p w14:paraId="50706322" w14:textId="77777777" w:rsidR="00AC0AEA" w:rsidRDefault="00AC0AEA">
                                    <w:pPr>
                                      <w:spacing w:line="300" w:lineRule="atLeast"/>
                                      <w:jc w:val="both"/>
                                      <w:rPr>
                                        <w:rFonts w:ascii="Verdana" w:hAnsi="Verdana" w:cs="Times New Roman"/>
                                        <w:color w:val="000000"/>
                                      </w:rPr>
                                    </w:pPr>
                                    <w:r>
                                      <w:rPr>
                                        <w:rFonts w:ascii="Helvetica Neue" w:hAnsi="Helvetica Neue"/>
                                        <w:color w:val="000000"/>
                                        <w:sz w:val="18"/>
                                        <w:szCs w:val="18"/>
                                      </w:rPr>
                                      <w:t>Amid the flood of analyses of the current US war against Iran, Monica Duffy Toft, Professor of International Politics at the Fletcher School, Tufts University, </w:t>
                                    </w:r>
                                    <w:hyperlink r:id="rId9" w:tgtFrame="_blank" w:history="1">
                                      <w:r>
                                        <w:rPr>
                                          <w:rStyle w:val="Hyperlink"/>
                                          <w:rFonts w:ascii="Helvetica Neue" w:hAnsi="Helvetica Neue"/>
                                          <w:b/>
                                          <w:bCs/>
                                          <w:color w:val="4C6AA2"/>
                                          <w:sz w:val="18"/>
                                          <w:szCs w:val="18"/>
                                        </w:rPr>
                                        <w:t>draws lessons</w:t>
                                      </w:r>
                                    </w:hyperlink>
                                    <w:r>
                                      <w:rPr>
                                        <w:rFonts w:ascii="Helvetica Neue" w:hAnsi="Helvetica Neue"/>
                                        <w:color w:val="000000"/>
                                        <w:sz w:val="18"/>
                                        <w:szCs w:val="18"/>
                                      </w:rPr>
                                      <w:t> from previous engagements by the US and its allies in Vietnam, Afghanistan, Ukraine and now Venezuela.</w:t>
                                    </w:r>
                                    <w:r>
                                      <w:rPr>
                                        <w:rFonts w:ascii="Helvetica Neue" w:hAnsi="Helvetica Neue"/>
                                        <w:color w:val="000000"/>
                                        <w:sz w:val="18"/>
                                        <w:szCs w:val="18"/>
                                      </w:rPr>
                                      <w:br/>
                                    </w:r>
                                    <w:r>
                                      <w:rPr>
                                        <w:rFonts w:ascii="Helvetica Neue" w:hAnsi="Helvetica Neue"/>
                                        <w:color w:val="000000"/>
                                        <w:sz w:val="18"/>
                                        <w:szCs w:val="18"/>
                                      </w:rPr>
                                      <w:br/>
                                      <w:t xml:space="preserve">She comments that, in the absence of diplomatic relations since 1979 and hence of an American embassy in Tehran, the US has relied heavily for intelligence on CIA networks “of questionable quality” and on Israeli assets with their own country's interests in mind. She considers that the US did not anticipate that Iran had rebuilt and dispersed significant military capacity since 2025 and would strike </w:t>
                                    </w:r>
                                    <w:proofErr w:type="spellStart"/>
                                    <w:r>
                                      <w:rPr>
                                        <w:rFonts w:ascii="Helvetica Neue" w:hAnsi="Helvetica Neue"/>
                                        <w:color w:val="000000"/>
                                        <w:sz w:val="18"/>
                                        <w:szCs w:val="18"/>
                                      </w:rPr>
                                      <w:t>neighbors</w:t>
                                    </w:r>
                                    <w:proofErr w:type="spellEnd"/>
                                    <w:r>
                                      <w:rPr>
                                        <w:rFonts w:ascii="Helvetica Neue" w:hAnsi="Helvetica Neue"/>
                                        <w:color w:val="000000"/>
                                        <w:sz w:val="18"/>
                                        <w:szCs w:val="18"/>
                                      </w:rPr>
                                      <w:t xml:space="preserve"> across the region, including Azerbaijan, widening the conflict well beyond the Persian Gulf and undermining US strategic interests with India and Sri Lanka. She notes that that the US greatly underestimated the disruption of world oil distribution resulting from Iran’s capacity to block the Straits of Hormuz, now causing world-wide concerns.</w:t>
                                    </w:r>
                                    <w:r>
                                      <w:rPr>
                                        <w:rFonts w:ascii="Helvetica Neue" w:hAnsi="Helvetica Neue"/>
                                        <w:color w:val="000000"/>
                                        <w:sz w:val="18"/>
                                        <w:szCs w:val="18"/>
                                      </w:rPr>
                                      <w:br/>
                                    </w:r>
                                    <w:r>
                                      <w:rPr>
                                        <w:rFonts w:ascii="Helvetica Neue" w:hAnsi="Helvetica Neue"/>
                                        <w:color w:val="000000"/>
                                        <w:sz w:val="18"/>
                                        <w:szCs w:val="18"/>
                                      </w:rPr>
                                      <w:br/>
                                      <w:t>Toft assesses that Iran does not need to defeat the US conventionally: it needs only to raise costs, exploit chokepoints and wait for a fracture among US allies and domestic political opposition to force either a fake US declaration of victory or a genuine US withdrawal.</w:t>
                                    </w:r>
                                    <w:r>
                                      <w:rPr>
                                        <w:rFonts w:ascii="Helvetica Neue" w:hAnsi="Helvetica Neue"/>
                                        <w:color w:val="000000"/>
                                        <w:sz w:val="18"/>
                                        <w:szCs w:val="18"/>
                                      </w:rPr>
                                      <w:br/>
                                    </w:r>
                                    <w:r>
                                      <w:rPr>
                                        <w:rFonts w:ascii="Helvetica Neue" w:hAnsi="Helvetica Neue"/>
                                        <w:color w:val="000000"/>
                                        <w:sz w:val="18"/>
                                        <w:szCs w:val="18"/>
                                      </w:rPr>
                                      <w:br/>
                                      <w:t>She concludes with a quote from Australian historian Geoffrey Blainey that wars start when both sides hold incompatible beliefs about power, and end only when reality forces those beliefs to align. In the case of Iran, there is nothing to suggest that this situation is approaching.</w:t>
                                    </w:r>
                                  </w:p>
                                  <w:p w14:paraId="0297F40F" w14:textId="77777777" w:rsidR="00AC0AEA" w:rsidRDefault="00AC0AEA">
                                    <w:pPr>
                                      <w:spacing w:line="300" w:lineRule="atLeast"/>
                                      <w:rPr>
                                        <w:rFonts w:ascii="Verdana" w:hAnsi="Verdana"/>
                                        <w:color w:val="000000"/>
                                      </w:rPr>
                                    </w:pPr>
                                    <w:r>
                                      <w:rPr>
                                        <w:rFonts w:ascii="Verdana" w:hAnsi="Verdana"/>
                                        <w:color w:val="000000"/>
                                      </w:rPr>
                                      <w:br/>
                                    </w:r>
                                    <w:r>
                                      <w:rPr>
                                        <w:rFonts w:ascii="Helvetica Neue" w:hAnsi="Helvetica Neue"/>
                                        <w:color w:val="000000"/>
                                        <w:sz w:val="17"/>
                                        <w:szCs w:val="17"/>
                                      </w:rPr>
                                      <w:t xml:space="preserve">Image credit: Former US embassy in Tehran, </w:t>
                                    </w:r>
                                    <w:proofErr w:type="spellStart"/>
                                    <w:r>
                                      <w:rPr>
                                        <w:rFonts w:ascii="Helvetica Neue" w:hAnsi="Helvetica Neue"/>
                                        <w:color w:val="000000"/>
                                        <w:sz w:val="17"/>
                                        <w:szCs w:val="17"/>
                                      </w:rPr>
                                      <w:t>Fabienkhan</w:t>
                                    </w:r>
                                    <w:proofErr w:type="spellEnd"/>
                                    <w:r>
                                      <w:rPr>
                                        <w:rFonts w:ascii="Helvetica Neue" w:hAnsi="Helvetica Neue"/>
                                        <w:color w:val="000000"/>
                                        <w:sz w:val="17"/>
                                        <w:szCs w:val="17"/>
                                      </w:rPr>
                                      <w:t xml:space="preserve"> via </w:t>
                                    </w:r>
                                    <w:hyperlink r:id="rId10" w:anchor="/media/File:Ex_embassy_US_tehran.jpg" w:tgtFrame="_blank" w:history="1">
                                      <w:r>
                                        <w:rPr>
                                          <w:rStyle w:val="Hyperlink"/>
                                          <w:rFonts w:ascii="Helvetica Neue" w:hAnsi="Helvetica Neue"/>
                                          <w:b/>
                                          <w:bCs/>
                                          <w:color w:val="4C6AA2"/>
                                          <w:sz w:val="17"/>
                                          <w:szCs w:val="17"/>
                                        </w:rPr>
                                        <w:t>Wikimedia Commons</w:t>
                                      </w:r>
                                    </w:hyperlink>
                                  </w:p>
                                </w:tc>
                              </w:tr>
                            </w:tbl>
                            <w:p w14:paraId="6CB4CB7E" w14:textId="77777777" w:rsidR="00AC0AEA" w:rsidRDefault="00AC0AEA">
                              <w:pPr>
                                <w:rPr>
                                  <w:rFonts w:ascii="Times New Roman" w:hAnsi="Times New Roman"/>
                                </w:rPr>
                              </w:pPr>
                            </w:p>
                          </w:tc>
                        </w:tr>
                      </w:tbl>
                      <w:p w14:paraId="7858DB80"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4E31E34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37DD829F" w14:textId="77777777">
                                <w:tc>
                                  <w:tcPr>
                                    <w:tcW w:w="0" w:type="auto"/>
                                    <w:vAlign w:val="center"/>
                                    <w:hideMark/>
                                  </w:tcPr>
                                  <w:p w14:paraId="03E9B550" w14:textId="77777777" w:rsidR="00AC0AEA" w:rsidRDefault="00AC0AEA"/>
                                </w:tc>
                              </w:tr>
                            </w:tbl>
                            <w:p w14:paraId="47E8EF51" w14:textId="77777777" w:rsidR="00AC0AEA" w:rsidRDefault="00AC0AEA"/>
                          </w:tc>
                        </w:tr>
                      </w:tbl>
                      <w:p w14:paraId="6AE9B186"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C6080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659F0081" w14:textId="77777777">
                                <w:tc>
                                  <w:tcPr>
                                    <w:tcW w:w="0" w:type="auto"/>
                                    <w:tcMar>
                                      <w:top w:w="0" w:type="dxa"/>
                                      <w:left w:w="270" w:type="dxa"/>
                                      <w:bottom w:w="135" w:type="dxa"/>
                                      <w:right w:w="270" w:type="dxa"/>
                                    </w:tcMar>
                                    <w:hideMark/>
                                  </w:tcPr>
                                  <w:p w14:paraId="224C567F" w14:textId="77777777" w:rsidR="00AC0AEA" w:rsidRDefault="00AC0AEA">
                                    <w:pPr>
                                      <w:pStyle w:val="NormalWeb"/>
                                      <w:spacing w:before="150" w:beforeAutospacing="0" w:after="150" w:afterAutospacing="0" w:line="360" w:lineRule="atLeast"/>
                                      <w:jc w:val="both"/>
                                      <w:rPr>
                                        <w:rFonts w:ascii="Arial" w:hAnsi="Arial" w:cs="Arial"/>
                                        <w:color w:val="000000"/>
                                      </w:rPr>
                                    </w:pPr>
                                    <w:r>
                                      <w:rPr>
                                        <w:rStyle w:val="Emphasis"/>
                                        <w:rFonts w:ascii="Helvetica Neue" w:hAnsi="Helvetica Neue" w:cs="Arial"/>
                                        <w:color w:val="000000"/>
                                        <w:sz w:val="17"/>
                                        <w:szCs w:val="17"/>
                                      </w:rPr>
                                      <w:lastRenderedPageBreak/>
                                      <w:t xml:space="preserve">This article was selected by Ian Lincoln, President of AIIA NSW since 2017. Ian was in the Department of Foreign Affairs for 33 years including postings in Asia, Africa, Europe and the Pacific. He was later an appellate member of the Refugee Review Tribunal and has worked in </w:t>
                                    </w:r>
                                    <w:proofErr w:type="gramStart"/>
                                    <w:r>
                                      <w:rPr>
                                        <w:rStyle w:val="Emphasis"/>
                                        <w:rFonts w:ascii="Helvetica Neue" w:hAnsi="Helvetica Neue" w:cs="Arial"/>
                                        <w:color w:val="000000"/>
                                        <w:sz w:val="17"/>
                                        <w:szCs w:val="17"/>
                                      </w:rPr>
                                      <w:t>a number of</w:t>
                                    </w:r>
                                    <w:proofErr w:type="gramEnd"/>
                                    <w:r>
                                      <w:rPr>
                                        <w:rStyle w:val="Emphasis"/>
                                        <w:rFonts w:ascii="Helvetica Neue" w:hAnsi="Helvetica Neue" w:cs="Arial"/>
                                        <w:color w:val="000000"/>
                                        <w:sz w:val="17"/>
                                        <w:szCs w:val="17"/>
                                      </w:rPr>
                                      <w:t xml:space="preserve"> community organisations.</w:t>
                                    </w:r>
                                  </w:p>
                                </w:tc>
                              </w:tr>
                            </w:tbl>
                            <w:p w14:paraId="1FE341D0" w14:textId="77777777" w:rsidR="00AC0AEA" w:rsidRDefault="00AC0AEA">
                              <w:pPr>
                                <w:rPr>
                                  <w:rFonts w:ascii="Times New Roman" w:hAnsi="Times New Roman" w:cs="Times New Roman"/>
                                </w:rPr>
                              </w:pPr>
                            </w:p>
                          </w:tc>
                        </w:tr>
                      </w:tbl>
                      <w:p w14:paraId="4D1E9652"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2C243F3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3B4E62BF" w14:textId="77777777">
                                <w:tc>
                                  <w:tcPr>
                                    <w:tcW w:w="0" w:type="auto"/>
                                    <w:vAlign w:val="center"/>
                                    <w:hideMark/>
                                  </w:tcPr>
                                  <w:p w14:paraId="2979A8D3" w14:textId="77777777" w:rsidR="00AC0AEA" w:rsidRDefault="00AC0AEA"/>
                                </w:tc>
                              </w:tr>
                            </w:tbl>
                            <w:p w14:paraId="492F06CA" w14:textId="77777777" w:rsidR="00AC0AEA" w:rsidRDefault="00AC0AEA"/>
                          </w:tc>
                        </w:tr>
                      </w:tbl>
                      <w:p w14:paraId="0599CD91"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545D9EE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C0AEA" w14:paraId="7873AFCB" w14:textId="77777777">
                                <w:tc>
                                  <w:tcPr>
                                    <w:tcW w:w="0" w:type="auto"/>
                                    <w:tcMar>
                                      <w:top w:w="0" w:type="dxa"/>
                                      <w:left w:w="135" w:type="dxa"/>
                                      <w:bottom w:w="135" w:type="dxa"/>
                                      <w:right w:w="135" w:type="dxa"/>
                                    </w:tcMar>
                                    <w:hideMark/>
                                  </w:tcPr>
                                  <w:p w14:paraId="786FEA12" w14:textId="50C07B23" w:rsidR="00AC0AEA" w:rsidRDefault="00AC0AEA">
                                    <w:r>
                                      <w:fldChar w:fldCharType="begin"/>
                                    </w:r>
                                    <w:r>
                                      <w:instrText xml:space="preserve"> INCLUDEPICTURE "https://mcusercontent.com/0e9feb1606f1b4129a8b65828/images/eba429a5-6b59-e78c-54f5-84dcab9a32dc.jpg" \* MERGEFORMATINET </w:instrText>
                                    </w:r>
                                    <w:r>
                                      <w:fldChar w:fldCharType="separate"/>
                                    </w:r>
                                    <w:r>
                                      <w:rPr>
                                        <w:noProof/>
                                      </w:rPr>
                                      <w:drawing>
                                        <wp:inline distT="0" distB="0" distL="0" distR="0" wp14:anchorId="48968989" wp14:editId="65A39CBA">
                                          <wp:extent cx="5727700" cy="4129405"/>
                                          <wp:effectExtent l="0" t="0" r="0" b="0"/>
                                          <wp:docPr id="347282823" name="Picture 19" descr="A stream of cloud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tream of clouds in the s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129405"/>
                                                  </a:xfrm>
                                                  <a:prstGeom prst="rect">
                                                    <a:avLst/>
                                                  </a:prstGeom>
                                                  <a:noFill/>
                                                  <a:ln>
                                                    <a:noFill/>
                                                  </a:ln>
                                                </pic:spPr>
                                              </pic:pic>
                                            </a:graphicData>
                                          </a:graphic>
                                        </wp:inline>
                                      </w:drawing>
                                    </w:r>
                                    <w:r>
                                      <w:fldChar w:fldCharType="end"/>
                                    </w:r>
                                  </w:p>
                                </w:tc>
                              </w:tr>
                              <w:tr w:rsidR="00AC0AEA" w14:paraId="075E838F" w14:textId="77777777">
                                <w:tc>
                                  <w:tcPr>
                                    <w:tcW w:w="8460" w:type="dxa"/>
                                    <w:tcMar>
                                      <w:top w:w="0" w:type="dxa"/>
                                      <w:left w:w="135" w:type="dxa"/>
                                      <w:bottom w:w="0" w:type="dxa"/>
                                      <w:right w:w="135" w:type="dxa"/>
                                    </w:tcMar>
                                    <w:hideMark/>
                                  </w:tcPr>
                                  <w:p w14:paraId="092BF74F" w14:textId="77777777" w:rsidR="00AC0AEA" w:rsidRDefault="00AC0AEA">
                                    <w:pPr>
                                      <w:pStyle w:val="Heading2"/>
                                      <w:spacing w:before="0" w:line="375" w:lineRule="atLeast"/>
                                      <w:rPr>
                                        <w:rFonts w:ascii="Arial" w:hAnsi="Arial" w:cs="Arial"/>
                                        <w:color w:val="4C6AA2"/>
                                        <w:spacing w:val="-11"/>
                                        <w:sz w:val="30"/>
                                        <w:szCs w:val="30"/>
                                      </w:rPr>
                                    </w:pPr>
                                    <w:r>
                                      <w:rPr>
                                        <w:rFonts w:ascii="Arial" w:hAnsi="Arial" w:cs="Arial"/>
                                        <w:color w:val="4C6AA2"/>
                                        <w:spacing w:val="-11"/>
                                        <w:sz w:val="30"/>
                                        <w:szCs w:val="30"/>
                                      </w:rPr>
                                      <w:br/>
                                    </w:r>
                                    <w:hyperlink r:id="rId12" w:tgtFrame="_blank" w:history="1">
                                      <w:r>
                                        <w:rPr>
                                          <w:rStyle w:val="Strong"/>
                                          <w:rFonts w:ascii="Helvetica Neue" w:hAnsi="Helvetica Neue" w:cs="Arial"/>
                                          <w:b w:val="0"/>
                                          <w:bCs w:val="0"/>
                                          <w:color w:val="4C6AA2"/>
                                          <w:spacing w:val="-11"/>
                                          <w:sz w:val="30"/>
                                          <w:szCs w:val="30"/>
                                        </w:rPr>
                                        <w:t>The Winds of Change</w:t>
                                      </w:r>
                                    </w:hyperlink>
                                  </w:p>
                                  <w:p w14:paraId="76BB4F36" w14:textId="77777777" w:rsidR="00AC0AEA" w:rsidRDefault="00AC0AEA">
                                    <w:pPr>
                                      <w:spacing w:line="300" w:lineRule="atLeast"/>
                                      <w:jc w:val="both"/>
                                      <w:rPr>
                                        <w:rFonts w:ascii="Verdana" w:hAnsi="Verdana" w:cs="Times New Roman"/>
                                        <w:color w:val="000000"/>
                                      </w:rPr>
                                    </w:pPr>
                                    <w:r>
                                      <w:rPr>
                                        <w:rFonts w:ascii="Helvetica Neue" w:hAnsi="Helvetica Neue"/>
                                        <w:color w:val="000000"/>
                                        <w:sz w:val="18"/>
                                        <w:szCs w:val="18"/>
                                      </w:rPr>
                                      <w:t>I can’t tell why I chose Simon Winchester’s latest book </w:t>
                                    </w:r>
                                    <w:hyperlink r:id="rId13" w:tgtFrame="_blank" w:history="1">
                                      <w:r>
                                        <w:rPr>
                                          <w:rStyle w:val="Hyperlink"/>
                                          <w:rFonts w:ascii="Helvetica Neue" w:hAnsi="Helvetica Neue"/>
                                          <w:b/>
                                          <w:bCs/>
                                          <w:color w:val="4C6AA2"/>
                                          <w:sz w:val="18"/>
                                          <w:szCs w:val="18"/>
                                        </w:rPr>
                                        <w:t>The Breath of the Gods: The History and Future of the Wind (William Collins 2026)</w:t>
                                      </w:r>
                                    </w:hyperlink>
                                    <w:r>
                                      <w:rPr>
                                        <w:rFonts w:ascii="Helvetica Neue" w:hAnsi="Helvetica Neue"/>
                                        <w:color w:val="000000"/>
                                        <w:sz w:val="18"/>
                                        <w:szCs w:val="18"/>
                                      </w:rPr>
                                      <w:t> to take as reading matter when I went to a conference in Wellington, New Zealand, in February, except that I have enjoyed other books by this author. Perhaps subconsciously it was because Wellington is the world’s windiest city, and indeed a storm blew up and closed the airport the day after I left.</w:t>
                                    </w:r>
                                    <w:r>
                                      <w:rPr>
                                        <w:rFonts w:ascii="Helvetica Neue" w:hAnsi="Helvetica Neue"/>
                                        <w:color w:val="000000"/>
                                        <w:sz w:val="18"/>
                                        <w:szCs w:val="18"/>
                                      </w:rPr>
                                      <w:br/>
                                    </w:r>
                                    <w:r>
                                      <w:rPr>
                                        <w:rFonts w:ascii="Helvetica Neue" w:hAnsi="Helvetica Neue"/>
                                        <w:color w:val="000000"/>
                                        <w:sz w:val="18"/>
                                        <w:szCs w:val="18"/>
                                      </w:rPr>
                                      <w:br/>
                                      <w:t xml:space="preserve">You may wonder what wind has got to do with international relations. The answer is: a lot. In the historic Age of Sail, of course, there were famous naval battles won or lost by the wind. More recently, in World War Two, the date of D-Day was determined by an accurate weather forecast and Tokyo </w:t>
                                    </w:r>
                                    <w:proofErr w:type="gramStart"/>
                                    <w:r>
                                      <w:rPr>
                                        <w:rFonts w:ascii="Helvetica Neue" w:hAnsi="Helvetica Neue"/>
                                        <w:color w:val="000000"/>
                                        <w:sz w:val="18"/>
                                        <w:szCs w:val="18"/>
                                      </w:rPr>
                                      <w:t>was</w:t>
                                    </w:r>
                                    <w:proofErr w:type="gramEnd"/>
                                    <w:r>
                                      <w:rPr>
                                        <w:rFonts w:ascii="Helvetica Neue" w:hAnsi="Helvetica Neue"/>
                                        <w:color w:val="000000"/>
                                        <w:sz w:val="18"/>
                                        <w:szCs w:val="18"/>
                                      </w:rPr>
                                      <w:t xml:space="preserve"> destroyed by the firestorm that erupted after American bombing raids. In the new millennium, meteorologists </w:t>
                                    </w:r>
                                    <w:proofErr w:type="gramStart"/>
                                    <w:r>
                                      <w:rPr>
                                        <w:rFonts w:ascii="Helvetica Neue" w:hAnsi="Helvetica Neue"/>
                                        <w:color w:val="000000"/>
                                        <w:sz w:val="18"/>
                                        <w:szCs w:val="18"/>
                                      </w:rPr>
                                      <w:t>have to</w:t>
                                    </w:r>
                                    <w:proofErr w:type="gramEnd"/>
                                    <w:r>
                                      <w:rPr>
                                        <w:rFonts w:ascii="Helvetica Neue" w:hAnsi="Helvetica Neue"/>
                                        <w:color w:val="000000"/>
                                        <w:sz w:val="18"/>
                                        <w:szCs w:val="18"/>
                                      </w:rPr>
                                      <w:t xml:space="preserve"> monitor terrestrial and upper atmosphere weather because this affects flights and satellite orbits. Natural disasters, which are of increasing intensity and severity due to climate change, also have the potential to threaten international relations.</w:t>
                                    </w:r>
                                    <w:r>
                                      <w:rPr>
                                        <w:rFonts w:ascii="Helvetica Neue" w:hAnsi="Helvetica Neue"/>
                                        <w:color w:val="000000"/>
                                        <w:sz w:val="18"/>
                                        <w:szCs w:val="18"/>
                                      </w:rPr>
                                      <w:br/>
                                    </w:r>
                                    <w:r>
                                      <w:rPr>
                                        <w:rFonts w:ascii="Helvetica Neue" w:hAnsi="Helvetica Neue"/>
                                        <w:color w:val="000000"/>
                                        <w:sz w:val="18"/>
                                        <w:szCs w:val="18"/>
                                      </w:rPr>
                                      <w:lastRenderedPageBreak/>
                                      <w:br/>
                                      <w:t>Winchester’s book is crammed with more wind facts and case studies to educate and amuse the reader.</w:t>
                                    </w:r>
                                  </w:p>
                                  <w:p w14:paraId="0ADACFB2" w14:textId="77777777" w:rsidR="00AC0AEA" w:rsidRDefault="00AC0AEA">
                                    <w:pPr>
                                      <w:spacing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Brave Heart on </w:t>
                                    </w:r>
                                    <w:hyperlink r:id="rId14" w:tgtFrame="_blank" w:history="1">
                                      <w:r>
                                        <w:rPr>
                                          <w:rStyle w:val="Hyperlink"/>
                                          <w:rFonts w:ascii="Helvetica Neue" w:hAnsi="Helvetica Neue"/>
                                          <w:b/>
                                          <w:bCs/>
                                          <w:color w:val="4C6AA2"/>
                                          <w:sz w:val="17"/>
                                          <w:szCs w:val="17"/>
                                        </w:rPr>
                                        <w:t>Flickr</w:t>
                                      </w:r>
                                    </w:hyperlink>
                                  </w:p>
                                </w:tc>
                              </w:tr>
                            </w:tbl>
                            <w:p w14:paraId="4FE9B8A6" w14:textId="77777777" w:rsidR="00AC0AEA" w:rsidRDefault="00AC0AEA">
                              <w:pPr>
                                <w:rPr>
                                  <w:rFonts w:ascii="Times New Roman" w:hAnsi="Times New Roman"/>
                                </w:rPr>
                              </w:pPr>
                            </w:p>
                          </w:tc>
                        </w:tr>
                      </w:tbl>
                      <w:p w14:paraId="26A51121"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7D5DDB6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775A40CA" w14:textId="77777777">
                                <w:tc>
                                  <w:tcPr>
                                    <w:tcW w:w="0" w:type="auto"/>
                                    <w:vAlign w:val="center"/>
                                    <w:hideMark/>
                                  </w:tcPr>
                                  <w:p w14:paraId="258EEE57" w14:textId="77777777" w:rsidR="00AC0AEA" w:rsidRDefault="00AC0AEA"/>
                                </w:tc>
                              </w:tr>
                            </w:tbl>
                            <w:p w14:paraId="5C7486A2" w14:textId="77777777" w:rsidR="00AC0AEA" w:rsidRDefault="00AC0AEA"/>
                          </w:tc>
                        </w:tr>
                      </w:tbl>
                      <w:p w14:paraId="14B7D7FD"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5234B9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6B0CCF86" w14:textId="77777777">
                                <w:tc>
                                  <w:tcPr>
                                    <w:tcW w:w="0" w:type="auto"/>
                                    <w:tcMar>
                                      <w:top w:w="0" w:type="dxa"/>
                                      <w:left w:w="270" w:type="dxa"/>
                                      <w:bottom w:w="135" w:type="dxa"/>
                                      <w:right w:w="270" w:type="dxa"/>
                                    </w:tcMar>
                                    <w:hideMark/>
                                  </w:tcPr>
                                  <w:p w14:paraId="6BE5D442" w14:textId="77777777" w:rsidR="00AC0AEA" w:rsidRDefault="00AC0AEA">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book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658248EE" w14:textId="77777777" w:rsidR="00AC0AEA" w:rsidRDefault="00AC0AEA">
                              <w:pPr>
                                <w:rPr>
                                  <w:rFonts w:ascii="Times New Roman" w:hAnsi="Times New Roman" w:cs="Times New Roman"/>
                                </w:rPr>
                              </w:pPr>
                            </w:p>
                          </w:tc>
                        </w:tr>
                      </w:tbl>
                      <w:p w14:paraId="4BAB81A9"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3E6726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67F50392" w14:textId="77777777">
                                <w:tc>
                                  <w:tcPr>
                                    <w:tcW w:w="0" w:type="auto"/>
                                    <w:vAlign w:val="center"/>
                                    <w:hideMark/>
                                  </w:tcPr>
                                  <w:p w14:paraId="0D99FFBF" w14:textId="77777777" w:rsidR="00AC0AEA" w:rsidRDefault="00AC0AEA"/>
                                </w:tc>
                              </w:tr>
                            </w:tbl>
                            <w:p w14:paraId="3D96F94A" w14:textId="77777777" w:rsidR="00AC0AEA" w:rsidRDefault="00AC0AEA"/>
                          </w:tc>
                        </w:tr>
                      </w:tbl>
                      <w:p w14:paraId="1ABF0607"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3013C4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749C287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C0AEA" w14:paraId="7A01B27A" w14:textId="77777777">
                                      <w:tc>
                                        <w:tcPr>
                                          <w:tcW w:w="0" w:type="auto"/>
                                          <w:shd w:val="clear" w:color="auto" w:fill="4B6AA2"/>
                                          <w:tcMar>
                                            <w:top w:w="270" w:type="dxa"/>
                                            <w:left w:w="270" w:type="dxa"/>
                                            <w:bottom w:w="270" w:type="dxa"/>
                                            <w:right w:w="270" w:type="dxa"/>
                                          </w:tcMar>
                                          <w:hideMark/>
                                        </w:tcPr>
                                        <w:p w14:paraId="2D56E7A7" w14:textId="77777777" w:rsidR="00AC0AEA" w:rsidRDefault="00AC0AE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E28F718" w14:textId="77777777" w:rsidR="00AC0AEA" w:rsidRDefault="00AC0AEA">
                                    <w:pPr>
                                      <w:rPr>
                                        <w:rFonts w:ascii="Times New Roman" w:hAnsi="Times New Roman"/>
                                      </w:rPr>
                                    </w:pPr>
                                  </w:p>
                                </w:tc>
                              </w:tr>
                            </w:tbl>
                            <w:p w14:paraId="25C9216B" w14:textId="77777777" w:rsidR="00AC0AEA" w:rsidRDefault="00AC0AEA"/>
                          </w:tc>
                        </w:tr>
                      </w:tbl>
                      <w:p w14:paraId="0169899C"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21D352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61DFAC2B" w14:textId="77777777">
                                <w:tc>
                                  <w:tcPr>
                                    <w:tcW w:w="0" w:type="auto"/>
                                    <w:tcMar>
                                      <w:top w:w="0" w:type="dxa"/>
                                      <w:left w:w="270" w:type="dxa"/>
                                      <w:bottom w:w="135" w:type="dxa"/>
                                      <w:right w:w="270" w:type="dxa"/>
                                    </w:tcMar>
                                    <w:hideMark/>
                                  </w:tcPr>
                                  <w:p w14:paraId="48D0D45A" w14:textId="77777777" w:rsidR="00AC0AEA" w:rsidRDefault="00AC0AEA">
                                    <w:pPr>
                                      <w:spacing w:line="360" w:lineRule="atLeast"/>
                                      <w:jc w:val="both"/>
                                      <w:rPr>
                                        <w:rFonts w:ascii="Verdana" w:hAnsi="Verdana"/>
                                        <w:color w:val="222222"/>
                                      </w:rPr>
                                    </w:pPr>
                                    <w:r>
                                      <w:rPr>
                                        <w:rFonts w:ascii="Helvetica Neue" w:hAnsi="Helvetica Neue"/>
                                        <w:color w:val="222222"/>
                                        <w:sz w:val="18"/>
                                        <w:szCs w:val="18"/>
                                      </w:rPr>
                                      <w:t xml:space="preserve">In addition to our Councillors' recommendations,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This week, Federico Canas Velasco explores how One Nation's unprecedented surge reflects a sweeping global realignment of the radical right, alongside Trump, Farage, and Meloni. Paolo Lini explores the future of drone warfare amid the ongoing wars in Ukraine and Iran. Kimmy Kwok reflects on the US Immigration Department's unjust crackdown on pregnant migrant women.</w:t>
                                    </w:r>
                                  </w:p>
                                  <w:p w14:paraId="0E6F60C2" w14:textId="77777777" w:rsidR="00AC0AEA" w:rsidRDefault="00AC0AEA">
                                    <w:pPr>
                                      <w:spacing w:line="360" w:lineRule="atLeast"/>
                                      <w:rPr>
                                        <w:rFonts w:ascii="Verdana" w:hAnsi="Verdana"/>
                                        <w:color w:val="222222"/>
                                      </w:rPr>
                                    </w:pP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CDCE894" w14:textId="77777777" w:rsidR="00AC0AEA" w:rsidRDefault="00AC0AEA">
                              <w:pPr>
                                <w:rPr>
                                  <w:rFonts w:ascii="Times New Roman" w:hAnsi="Times New Roman"/>
                                </w:rPr>
                              </w:pPr>
                            </w:p>
                          </w:tc>
                        </w:tr>
                      </w:tbl>
                      <w:p w14:paraId="430C1A32"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4994270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70477921" w14:textId="77777777">
                                <w:tc>
                                  <w:tcPr>
                                    <w:tcW w:w="0" w:type="auto"/>
                                    <w:vAlign w:val="center"/>
                                    <w:hideMark/>
                                  </w:tcPr>
                                  <w:p w14:paraId="4255CA87" w14:textId="77777777" w:rsidR="00AC0AEA" w:rsidRDefault="00AC0AEA"/>
                                </w:tc>
                              </w:tr>
                            </w:tbl>
                            <w:p w14:paraId="00FEC9E6" w14:textId="77777777" w:rsidR="00AC0AEA" w:rsidRDefault="00AC0AEA"/>
                          </w:tc>
                        </w:tr>
                      </w:tbl>
                      <w:p w14:paraId="53AA8419"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7FAF83F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C0AEA" w14:paraId="78229FA2" w14:textId="77777777">
                                <w:tc>
                                  <w:tcPr>
                                    <w:tcW w:w="0" w:type="auto"/>
                                    <w:tcMar>
                                      <w:top w:w="0" w:type="dxa"/>
                                      <w:left w:w="135" w:type="dxa"/>
                                      <w:bottom w:w="135" w:type="dxa"/>
                                      <w:right w:w="135" w:type="dxa"/>
                                    </w:tcMar>
                                    <w:hideMark/>
                                  </w:tcPr>
                                  <w:p w14:paraId="4F9A93BD" w14:textId="1F63BA2A" w:rsidR="00AC0AEA" w:rsidRDefault="00AC0AEA">
                                    <w:pPr>
                                      <w:jc w:val="center"/>
                                    </w:pPr>
                                    <w:r>
                                      <w:rPr>
                                        <w:noProof/>
                                        <w:color w:val="0000FF"/>
                                      </w:rPr>
                                      <w:lastRenderedPageBreak/>
                                      <w:drawing>
                                        <wp:inline distT="0" distB="0" distL="0" distR="0" wp14:anchorId="522726E8" wp14:editId="564E92D4">
                                          <wp:extent cx="5727700" cy="3818255"/>
                                          <wp:effectExtent l="0" t="0" r="0" b="4445"/>
                                          <wp:docPr id="435503614" name="Picture 18" descr="An Australia Day demonstration with Australian flags in the air">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Australia Day demonstration with Australian flags in the air">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tc>
                              </w:tr>
                              <w:tr w:rsidR="00AC0AEA" w14:paraId="04EEDEAA" w14:textId="77777777">
                                <w:tc>
                                  <w:tcPr>
                                    <w:tcW w:w="8460" w:type="dxa"/>
                                    <w:tcMar>
                                      <w:top w:w="0" w:type="dxa"/>
                                      <w:left w:w="135" w:type="dxa"/>
                                      <w:bottom w:w="0" w:type="dxa"/>
                                      <w:right w:w="135" w:type="dxa"/>
                                    </w:tcMar>
                                    <w:hideMark/>
                                  </w:tcPr>
                                  <w:p w14:paraId="63531238" w14:textId="77777777" w:rsidR="00AC0AEA" w:rsidRDefault="00AC0AEA">
                                    <w:pPr>
                                      <w:pStyle w:val="NormalWeb"/>
                                      <w:spacing w:before="150" w:beforeAutospacing="0" w:after="150" w:afterAutospacing="0" w:line="360" w:lineRule="atLeast"/>
                                      <w:rPr>
                                        <w:rFonts w:ascii="Verdana" w:hAnsi="Verdana"/>
                                        <w:color w:val="4C6AA2"/>
                                      </w:rPr>
                                    </w:pPr>
                                    <w:hyperlink r:id="rId17" w:tgtFrame="_blank" w:history="1">
                                      <w:r>
                                        <w:rPr>
                                          <w:rStyle w:val="Hyperlink"/>
                                          <w:rFonts w:ascii="Helvetica Neue" w:hAnsi="Helvetica Neue"/>
                                          <w:b/>
                                          <w:bCs/>
                                          <w:color w:val="4C6AA2"/>
                                          <w:sz w:val="30"/>
                                          <w:szCs w:val="30"/>
                                        </w:rPr>
                                        <w:t>One Nation and the Global Populist Wave</w:t>
                                      </w:r>
                                    </w:hyperlink>
                                    <w:r>
                                      <w:rPr>
                                        <w:rFonts w:ascii="Verdana" w:hAnsi="Verdana"/>
                                        <w:color w:val="4C6AA2"/>
                                      </w:rPr>
                                      <w:br/>
                                    </w:r>
                                    <w:r>
                                      <w:rPr>
                                        <w:rFonts w:ascii="Helvetica Neue" w:hAnsi="Helvetica Neue"/>
                                        <w:color w:val="000000"/>
                                        <w:sz w:val="18"/>
                                        <w:szCs w:val="18"/>
                                      </w:rPr>
                                      <w:t>Writing in </w:t>
                                    </w:r>
                                    <w:r>
                                      <w:rPr>
                                        <w:rStyle w:val="Emphasis"/>
                                        <w:rFonts w:ascii="Helvetica Neue" w:hAnsi="Helvetica Neue"/>
                                        <w:color w:val="000000"/>
                                        <w:sz w:val="18"/>
                                        <w:szCs w:val="18"/>
                                      </w:rPr>
                                      <w:t>The Conversation, </w:t>
                                    </w:r>
                                    <w:r>
                                      <w:rPr>
                                        <w:rFonts w:ascii="Helvetica Neue" w:hAnsi="Helvetica Neue"/>
                                        <w:color w:val="000000"/>
                                        <w:sz w:val="18"/>
                                        <w:szCs w:val="18"/>
                                      </w:rPr>
                                      <w:t>Josh Sunman and Emily Foley </w:t>
                                    </w:r>
                                    <w:hyperlink r:id="rId18"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that One Nation's surge in Australian polling is not an isolated domestic phenomenon but rather part of a "global anti-immigration push" in which radical right-wing politicians such as US President Donald Trump, Reform UK leader Nigel Farage and Italian Prime Minister Georgia Meloni are gaining traction at the ballot box and exerting increased influence over the global policy agenda. The piece places One Nation's popularity in Australia within a larger political dynamic whereby economic uncertainty and disenfranchisement fuel broader declining trust in political institutions.</w:t>
                                    </w:r>
                                    <w:r>
                                      <w:rPr>
                                        <w:rFonts w:ascii="Helvetica Neue" w:hAnsi="Helvetica Neue"/>
                                        <w:color w:val="000000"/>
                                        <w:sz w:val="18"/>
                                        <w:szCs w:val="18"/>
                                      </w:rPr>
                                      <w:br/>
                                    </w:r>
                                    <w:r>
                                      <w:rPr>
                                        <w:rFonts w:ascii="Helvetica Neue" w:hAnsi="Helvetica Neue"/>
                                        <w:color w:val="000000"/>
                                        <w:sz w:val="18"/>
                                        <w:szCs w:val="18"/>
                                      </w:rPr>
                                      <w:br/>
                                      <w:t>The authors report that only 32% of Australians have trust in government, while just 30% report satisfaction with Australian democracy. The piece further identifies the collapse of the centre-right as a key structural enabler, noting that both the British Tories and the Australian Coalition have "left a vacuum of policy and leadership on the right." The March 2026 South Australian election, in which One Nation outpolled the Liberals statewide, ushers in a question that is echoed by these authors: is this a temporary protest vote or a far more serious and lasting realignment of the Australian right? </w:t>
                                    </w:r>
                                    <w:r>
                                      <w:rPr>
                                        <w:rFonts w:ascii="Verdana" w:hAnsi="Verdana"/>
                                        <w:color w:val="4C6AA2"/>
                                      </w:rPr>
                                      <w:br/>
                                    </w:r>
                                    <w:r>
                                      <w:rPr>
                                        <w:rFonts w:ascii="Verdana" w:hAnsi="Verdana"/>
                                        <w:color w:val="4C6AA2"/>
                                      </w:rPr>
                                      <w:br/>
                                    </w:r>
                                    <w:r>
                                      <w:rPr>
                                        <w:rFonts w:ascii="Helvetica Neue" w:hAnsi="Helvetica Neue"/>
                                        <w:color w:val="000000"/>
                                        <w:sz w:val="17"/>
                                        <w:szCs w:val="17"/>
                                      </w:rPr>
                                      <w:t>Image credit: DJ Paine via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"https://unsplash.com/photos/crowd-of-people-waving-australian-flags-on-a-sunny-day-QOjC3VNWnxw"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rPr>
                                      <w:t>Unsplash</w:t>
                                    </w:r>
                                    <w:proofErr w:type="spellEnd"/>
                                    <w:r>
                                      <w:rPr>
                                        <w:rFonts w:ascii="Helvetica Neue" w:hAnsi="Helvetica Neue"/>
                                        <w:color w:val="000000"/>
                                        <w:sz w:val="17"/>
                                        <w:szCs w:val="17"/>
                                      </w:rPr>
                                      <w:fldChar w:fldCharType="end"/>
                                    </w:r>
                                  </w:p>
                                </w:tc>
                              </w:tr>
                            </w:tbl>
                            <w:p w14:paraId="5AE0DDF2" w14:textId="77777777" w:rsidR="00AC0AEA" w:rsidRDefault="00AC0AEA">
                              <w:pPr>
                                <w:rPr>
                                  <w:rFonts w:ascii="Times New Roman" w:hAnsi="Times New Roman"/>
                                </w:rPr>
                              </w:pPr>
                            </w:p>
                          </w:tc>
                        </w:tr>
                      </w:tbl>
                      <w:p w14:paraId="0B66D95A"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062BBF3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20363473" w14:textId="77777777">
                                <w:tc>
                                  <w:tcPr>
                                    <w:tcW w:w="0" w:type="auto"/>
                                    <w:vAlign w:val="center"/>
                                    <w:hideMark/>
                                  </w:tcPr>
                                  <w:p w14:paraId="03AD08C6" w14:textId="77777777" w:rsidR="00AC0AEA" w:rsidRDefault="00AC0AEA"/>
                                </w:tc>
                              </w:tr>
                            </w:tbl>
                            <w:p w14:paraId="5A86F32C" w14:textId="77777777" w:rsidR="00AC0AEA" w:rsidRDefault="00AC0AEA"/>
                          </w:tc>
                        </w:tr>
                      </w:tbl>
                      <w:p w14:paraId="57529D55"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BEF3B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6FAC50F4" w14:textId="77777777">
                                <w:tc>
                                  <w:tcPr>
                                    <w:tcW w:w="0" w:type="auto"/>
                                    <w:tcMar>
                                      <w:top w:w="0" w:type="dxa"/>
                                      <w:left w:w="270" w:type="dxa"/>
                                      <w:bottom w:w="135" w:type="dxa"/>
                                      <w:right w:w="270" w:type="dxa"/>
                                    </w:tcMar>
                                    <w:hideMark/>
                                  </w:tcPr>
                                  <w:p w14:paraId="176A9A40" w14:textId="77777777" w:rsidR="00AC0AEA" w:rsidRDefault="00AC0AEA">
                                    <w:pPr>
                                      <w:spacing w:line="360" w:lineRule="atLeast"/>
                                      <w:rPr>
                                        <w:rFonts w:ascii="Verdana" w:hAnsi="Verdana"/>
                                        <w:color w:val="4C6AA2"/>
                                      </w:rPr>
                                    </w:pPr>
                                    <w:r>
                                      <w:rPr>
                                        <w:rStyle w:val="Emphasis"/>
                                        <w:rFonts w:ascii="Helvetica Neue" w:hAnsi="Helvetica Neue"/>
                                        <w:color w:val="000000"/>
                                        <w:sz w:val="17"/>
                                        <w:szCs w:val="17"/>
                                      </w:rPr>
                                      <w:lastRenderedPageBreak/>
                                      <w:t>This column was selected by Federico Canas Velasco. Federico recently graduated from the University of Sydney with a Bachelor of Arts and Advanced Studies in International and Global Studies. He was previously the Latin American Fellow at Young Australians in International Affairs.</w:t>
                                    </w:r>
                                  </w:p>
                                </w:tc>
                              </w:tr>
                            </w:tbl>
                            <w:p w14:paraId="40AA9A53" w14:textId="77777777" w:rsidR="00AC0AEA" w:rsidRDefault="00AC0AEA">
                              <w:pPr>
                                <w:rPr>
                                  <w:rFonts w:ascii="Times New Roman" w:hAnsi="Times New Roman"/>
                                </w:rPr>
                              </w:pPr>
                            </w:p>
                          </w:tc>
                        </w:tr>
                      </w:tbl>
                      <w:p w14:paraId="53C651FB"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7B56EFE6"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18AF55F1" w14:textId="77777777">
                                <w:tc>
                                  <w:tcPr>
                                    <w:tcW w:w="0" w:type="auto"/>
                                    <w:vAlign w:val="center"/>
                                    <w:hideMark/>
                                  </w:tcPr>
                                  <w:p w14:paraId="7A43DE2D" w14:textId="77777777" w:rsidR="00AC0AEA" w:rsidRDefault="00AC0AEA"/>
                                </w:tc>
                              </w:tr>
                            </w:tbl>
                            <w:p w14:paraId="1980C01E" w14:textId="77777777" w:rsidR="00AC0AEA" w:rsidRDefault="00AC0AEA"/>
                          </w:tc>
                        </w:tr>
                      </w:tbl>
                      <w:p w14:paraId="513E42D0"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16B553A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C0AEA" w14:paraId="048780A9" w14:textId="77777777">
                                <w:tc>
                                  <w:tcPr>
                                    <w:tcW w:w="0" w:type="auto"/>
                                    <w:tcMar>
                                      <w:top w:w="0" w:type="dxa"/>
                                      <w:left w:w="135" w:type="dxa"/>
                                      <w:bottom w:w="135" w:type="dxa"/>
                                      <w:right w:w="135" w:type="dxa"/>
                                    </w:tcMar>
                                    <w:hideMark/>
                                  </w:tcPr>
                                  <w:p w14:paraId="5C9613EE" w14:textId="42AB2D49" w:rsidR="00AC0AEA" w:rsidRDefault="00AC0AEA">
                                    <w:pPr>
                                      <w:jc w:val="center"/>
                                    </w:pPr>
                                    <w:r>
                                      <w:rPr>
                                        <w:noProof/>
                                        <w:color w:val="0000FF"/>
                                      </w:rPr>
                                      <w:drawing>
                                        <wp:inline distT="0" distB="0" distL="0" distR="0" wp14:anchorId="430C7FD4" wp14:editId="3606EC7C">
                                          <wp:extent cx="5727700" cy="3221355"/>
                                          <wp:effectExtent l="0" t="0" r="0" b="4445"/>
                                          <wp:docPr id="137455956" name="Picture 17" descr="Left to right: An Iranian-made Shahed 101 drone, the remnants of an Iranian-made Shahed 131 drone recovered from Ukraine in Fall 2022, and an Iranian-made Shahed 131 drone recovered from Iraq in 2022.">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ft to right: An Iranian-made Shahed 101 drone, the remnants of an Iranian-made Shahed 131 drone recovered from Ukraine in Fall 2022, and an Iranian-made Shahed 131 drone recovered from Iraq in 2022.">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p>
                                </w:tc>
                              </w:tr>
                              <w:tr w:rsidR="00AC0AEA" w14:paraId="7112C5E4" w14:textId="77777777">
                                <w:tc>
                                  <w:tcPr>
                                    <w:tcW w:w="8460" w:type="dxa"/>
                                    <w:tcMar>
                                      <w:top w:w="0" w:type="dxa"/>
                                      <w:left w:w="135" w:type="dxa"/>
                                      <w:bottom w:w="0" w:type="dxa"/>
                                      <w:right w:w="135" w:type="dxa"/>
                                    </w:tcMar>
                                    <w:hideMark/>
                                  </w:tcPr>
                                  <w:p w14:paraId="5D5F75C9" w14:textId="77777777" w:rsidR="00AC0AEA" w:rsidRDefault="00AC0AEA">
                                    <w:pPr>
                                      <w:pStyle w:val="NormalWeb"/>
                                      <w:spacing w:before="150" w:beforeAutospacing="0" w:after="150" w:afterAutospacing="0" w:line="360" w:lineRule="atLeast"/>
                                      <w:rPr>
                                        <w:rFonts w:ascii="Verdana" w:hAnsi="Verdana"/>
                                        <w:color w:val="4C6AA2"/>
                                      </w:rPr>
                                    </w:pPr>
                                    <w:hyperlink r:id="rId21" w:tgtFrame="_blank" w:history="1">
                                      <w:r>
                                        <w:rPr>
                                          <w:rStyle w:val="Hyperlink"/>
                                          <w:rFonts w:ascii="Helvetica Neue" w:hAnsi="Helvetica Neue"/>
                                          <w:b/>
                                          <w:bCs/>
                                          <w:color w:val="4C6AA2"/>
                                          <w:sz w:val="30"/>
                                          <w:szCs w:val="30"/>
                                        </w:rPr>
                                        <w:t>A New Era of Drone Warfare</w:t>
                                      </w:r>
                                    </w:hyperlink>
                                  </w:p>
                                  <w:p w14:paraId="3236882C" w14:textId="77777777" w:rsidR="00AC0AEA" w:rsidRDefault="00AC0AEA">
                                    <w:pPr>
                                      <w:pStyle w:val="NormalWeb"/>
                                      <w:spacing w:before="150" w:beforeAutospacing="0" w:after="150" w:afterAutospacing="0" w:line="360" w:lineRule="atLeast"/>
                                      <w:jc w:val="both"/>
                                      <w:rPr>
                                        <w:rFonts w:ascii="Verdana" w:hAnsi="Verdana"/>
                                        <w:color w:val="4C6AA2"/>
                                      </w:rPr>
                                    </w:pPr>
                                    <w:r>
                                      <w:rPr>
                                        <w:rFonts w:ascii="Helvetica Neue" w:hAnsi="Helvetica Neue"/>
                                        <w:color w:val="000000"/>
                                        <w:sz w:val="18"/>
                                        <w:szCs w:val="18"/>
                                      </w:rPr>
                                      <w:t xml:space="preserve">Against the backdrop of the four years of war in Ukraine, and the current war on Iran, a new era in warfare has emerged. In an article for the Council on Foreign Relations, Michael C. Horowitz and Lauren Kahn </w:t>
                                    </w:r>
                                    <w:hyperlink r:id="rId22" w:tgtFrame="_blank" w:history="1">
                                      <w:r>
                                        <w:rPr>
                                          <w:rStyle w:val="Hyperlink"/>
                                          <w:rFonts w:ascii="Helvetica Neue" w:hAnsi="Helvetica Neue"/>
                                          <w:b/>
                                          <w:bCs/>
                                          <w:color w:val="4C6AA2"/>
                                          <w:sz w:val="18"/>
                                          <w:szCs w:val="18"/>
                                        </w:rPr>
                                        <w:t>describe</w:t>
                                      </w:r>
                                    </w:hyperlink>
                                    <w:r>
                                      <w:rPr>
                                        <w:rFonts w:ascii="Helvetica Neue" w:hAnsi="Helvetica Neue"/>
                                        <w:color w:val="000000"/>
                                        <w:sz w:val="18"/>
                                        <w:szCs w:val="18"/>
                                      </w:rPr>
                                      <w:t xml:space="preserve"> this as a fundamental shift in modern conflict toward "precise mass" defined as the high-volume use of low-cost, autonomous, and highly accurate systems. </w:t>
                                    </w:r>
                                    <w:r>
                                      <w:rPr>
                                        <w:rFonts w:ascii="Helvetica Neue" w:hAnsi="Helvetica Neue"/>
                                        <w:color w:val="000000"/>
                                        <w:sz w:val="18"/>
                                        <w:szCs w:val="18"/>
                                      </w:rPr>
                                      <w:br/>
                                      <w:t>A central theme is the asymmetric cost ratio. Iranian-made</w:t>
                                    </w:r>
                                    <w:r>
                                      <w:rPr>
                                        <w:rStyle w:val="Emphasis"/>
                                        <w:rFonts w:ascii="Helvetica Neue" w:hAnsi="Helvetica Neue"/>
                                        <w:color w:val="000000"/>
                                        <w:sz w:val="18"/>
                                        <w:szCs w:val="18"/>
                                      </w:rPr>
                                      <w:t xml:space="preserve"> Shahed-136</w:t>
                                    </w:r>
                                    <w:r>
                                      <w:rPr>
                                        <w:rFonts w:ascii="Helvetica Neue" w:hAnsi="Helvetica Neue"/>
                                        <w:color w:val="000000"/>
                                        <w:sz w:val="18"/>
                                        <w:szCs w:val="18"/>
                                      </w:rPr>
                                      <w:t xml:space="preserve"> </w:t>
                                    </w:r>
                                    <w:proofErr w:type="gramStart"/>
                                    <w:r>
                                      <w:rPr>
                                        <w:rFonts w:ascii="Helvetica Neue" w:hAnsi="Helvetica Neue"/>
                                        <w:color w:val="000000"/>
                                        <w:sz w:val="18"/>
                                        <w:szCs w:val="18"/>
                                      </w:rPr>
                                      <w:t>drones</w:t>
                                    </w:r>
                                    <w:proofErr w:type="gramEnd"/>
                                    <w:r>
                                      <w:rPr>
                                        <w:rFonts w:ascii="Helvetica Neue" w:hAnsi="Helvetica Neue"/>
                                        <w:color w:val="000000"/>
                                        <w:sz w:val="18"/>
                                        <w:szCs w:val="18"/>
                                      </w:rPr>
                                      <w:t xml:space="preserve"> cost between US$20,000-$50,000 per unit, while US Patriot missile interceptors used to shoot them down cost roughly US$4 million apiece. This places the American defenders on the wrong side of the cost curve, rapidly depleting the country's air </w:t>
                                    </w:r>
                                    <w:proofErr w:type="spellStart"/>
                                    <w:r>
                                      <w:rPr>
                                        <w:rFonts w:ascii="Helvetica Neue" w:hAnsi="Helvetica Neue"/>
                                        <w:color w:val="000000"/>
                                        <w:sz w:val="18"/>
                                        <w:szCs w:val="18"/>
                                      </w:rPr>
                                      <w:t>defense</w:t>
                                    </w:r>
                                    <w:proofErr w:type="spellEnd"/>
                                    <w:r>
                                      <w:rPr>
                                        <w:rFonts w:ascii="Helvetica Neue" w:hAnsi="Helvetica Neue"/>
                                        <w:color w:val="000000"/>
                                        <w:sz w:val="18"/>
                                        <w:szCs w:val="18"/>
                                      </w:rPr>
                                      <w:t xml:space="preserve"> stockpiles. In response, the US has deployed the LUCAS (Low-Cost Unmanned Combat Attack System) in its attack on the Iranian regime, otherwise known as 'Operation Epic Fury'.</w:t>
                                    </w:r>
                                    <w:r>
                                      <w:rPr>
                                        <w:rFonts w:ascii="Helvetica Neue" w:hAnsi="Helvetica Neue"/>
                                        <w:color w:val="000000"/>
                                        <w:sz w:val="18"/>
                                        <w:szCs w:val="18"/>
                                      </w:rPr>
                                      <w:br/>
                                      <w:t>This article is important because it explains the differences between drones, such as one way attack (OWA), surveillance or loyal wingmen, rather than treating them as a single category. Ultimately, the authors argue that precise mass will become a regular feature of warfare, comparable to the historical introduction of tanks or machine guns.</w:t>
                                    </w:r>
                                    <w:r>
                                      <w:rPr>
                                        <w:rFonts w:ascii="Verdana" w:hAnsi="Verdana"/>
                                        <w:color w:val="4C6AA2"/>
                                      </w:rPr>
                                      <w:br/>
                                    </w:r>
                                    <w:r>
                                      <w:rPr>
                                        <w:rFonts w:ascii="Verdana" w:hAnsi="Verdana"/>
                                        <w:color w:val="4C6AA2"/>
                                      </w:rPr>
                                      <w:br/>
                                    </w:r>
                                    <w:r>
                                      <w:rPr>
                                        <w:rFonts w:ascii="Helvetica Neue" w:hAnsi="Helvetica Neue"/>
                                        <w:color w:val="000000"/>
                                        <w:sz w:val="17"/>
                                        <w:szCs w:val="17"/>
                                      </w:rPr>
                                      <w:t xml:space="preserve">Image credit: Shahed drones, U.S. </w:t>
                                    </w:r>
                                    <w:proofErr w:type="spellStart"/>
                                    <w:r>
                                      <w:rPr>
                                        <w:rFonts w:ascii="Helvetica Neue" w:hAnsi="Helvetica Neue"/>
                                        <w:color w:val="000000"/>
                                        <w:sz w:val="17"/>
                                        <w:szCs w:val="17"/>
                                      </w:rPr>
                                      <w:t>Defense</w:t>
                                    </w:r>
                                    <w:proofErr w:type="spellEnd"/>
                                    <w:r>
                                      <w:rPr>
                                        <w:rFonts w:ascii="Helvetica Neue" w:hAnsi="Helvetica Neue"/>
                                        <w:color w:val="000000"/>
                                        <w:sz w:val="17"/>
                                        <w:szCs w:val="17"/>
                                      </w:rPr>
                                      <w:t xml:space="preserve"> Intelligence Agency via </w:t>
                                    </w:r>
                                    <w:hyperlink r:id="rId23" w:tgtFrame="_blank" w:history="1">
                                      <w:r>
                                        <w:rPr>
                                          <w:rStyle w:val="Hyperlink"/>
                                          <w:rFonts w:ascii="Helvetica Neue" w:hAnsi="Helvetica Neue"/>
                                          <w:b/>
                                          <w:bCs/>
                                          <w:color w:val="4C6AA2"/>
                                          <w:sz w:val="17"/>
                                          <w:szCs w:val="17"/>
                                        </w:rPr>
                                        <w:t>Wikimedia Commons</w:t>
                                      </w:r>
                                    </w:hyperlink>
                                  </w:p>
                                </w:tc>
                              </w:tr>
                            </w:tbl>
                            <w:p w14:paraId="783EA7B9" w14:textId="77777777" w:rsidR="00AC0AEA" w:rsidRDefault="00AC0AEA">
                              <w:pPr>
                                <w:rPr>
                                  <w:rFonts w:ascii="Times New Roman" w:hAnsi="Times New Roman"/>
                                </w:rPr>
                              </w:pPr>
                            </w:p>
                          </w:tc>
                        </w:tr>
                      </w:tbl>
                      <w:p w14:paraId="4555FEDC"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2E8B528A"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3835761F" w14:textId="77777777">
                                <w:tc>
                                  <w:tcPr>
                                    <w:tcW w:w="0" w:type="auto"/>
                                    <w:vAlign w:val="center"/>
                                    <w:hideMark/>
                                  </w:tcPr>
                                  <w:p w14:paraId="0F1F20AE" w14:textId="77777777" w:rsidR="00AC0AEA" w:rsidRDefault="00AC0AEA"/>
                                </w:tc>
                              </w:tr>
                            </w:tbl>
                            <w:p w14:paraId="760164F7" w14:textId="77777777" w:rsidR="00AC0AEA" w:rsidRDefault="00AC0AEA"/>
                          </w:tc>
                        </w:tr>
                      </w:tbl>
                      <w:p w14:paraId="31EA46E2"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63FE7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4A65868F" w14:textId="77777777">
                                <w:tc>
                                  <w:tcPr>
                                    <w:tcW w:w="0" w:type="auto"/>
                                    <w:tcMar>
                                      <w:top w:w="0" w:type="dxa"/>
                                      <w:left w:w="270" w:type="dxa"/>
                                      <w:bottom w:w="135" w:type="dxa"/>
                                      <w:right w:w="270" w:type="dxa"/>
                                    </w:tcMar>
                                    <w:hideMark/>
                                  </w:tcPr>
                                  <w:p w14:paraId="03AE2246" w14:textId="77777777" w:rsidR="00AC0AEA" w:rsidRDefault="00AC0AEA">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lastRenderedPageBreak/>
                                      <w:t xml:space="preserve">This article was selected by Paolo Lini. Paolo is a </w:t>
                                    </w:r>
                                    <w:proofErr w:type="gramStart"/>
                                    <w:r>
                                      <w:rPr>
                                        <w:rStyle w:val="Emphasis"/>
                                        <w:rFonts w:ascii="Helvetica Neue" w:hAnsi="Helvetica Neue"/>
                                        <w:color w:val="000000"/>
                                        <w:sz w:val="17"/>
                                        <w:szCs w:val="17"/>
                                      </w:rPr>
                                      <w:t>masters</w:t>
                                    </w:r>
                                    <w:proofErr w:type="gramEnd"/>
                                    <w:r>
                                      <w:rPr>
                                        <w:rStyle w:val="Emphasis"/>
                                        <w:rFonts w:ascii="Helvetica Neue" w:hAnsi="Helvetica Neue"/>
                                        <w:color w:val="000000"/>
                                        <w:sz w:val="17"/>
                                        <w:szCs w:val="17"/>
                                      </w:rPr>
                                      <w:t> student in War and Defence Studies at the Swedish Defence University and an exchange student at Macquarie University. He is a member of the Young European Federalists and writes for the European Student Think Tank.</w:t>
                                    </w:r>
                                  </w:p>
                                </w:tc>
                              </w:tr>
                            </w:tbl>
                            <w:p w14:paraId="33E7FF74" w14:textId="77777777" w:rsidR="00AC0AEA" w:rsidRDefault="00AC0AEA">
                              <w:pPr>
                                <w:rPr>
                                  <w:rFonts w:ascii="Times New Roman" w:hAnsi="Times New Roman"/>
                                </w:rPr>
                              </w:pPr>
                            </w:p>
                          </w:tc>
                        </w:tr>
                      </w:tbl>
                      <w:p w14:paraId="3C9C065F"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494FCE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39E4C537" w14:textId="77777777">
                                <w:tc>
                                  <w:tcPr>
                                    <w:tcW w:w="0" w:type="auto"/>
                                    <w:vAlign w:val="center"/>
                                    <w:hideMark/>
                                  </w:tcPr>
                                  <w:p w14:paraId="48AD42B4" w14:textId="77777777" w:rsidR="00AC0AEA" w:rsidRDefault="00AC0AEA"/>
                                </w:tc>
                              </w:tr>
                            </w:tbl>
                            <w:p w14:paraId="186E8FF2" w14:textId="77777777" w:rsidR="00AC0AEA" w:rsidRDefault="00AC0AEA"/>
                          </w:tc>
                        </w:tr>
                      </w:tbl>
                      <w:p w14:paraId="42B6D00E"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767D1CB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C0AEA" w14:paraId="334151A3" w14:textId="77777777">
                                <w:tc>
                                  <w:tcPr>
                                    <w:tcW w:w="0" w:type="auto"/>
                                    <w:tcMar>
                                      <w:top w:w="0" w:type="dxa"/>
                                      <w:left w:w="135" w:type="dxa"/>
                                      <w:bottom w:w="135" w:type="dxa"/>
                                      <w:right w:w="135" w:type="dxa"/>
                                    </w:tcMar>
                                    <w:hideMark/>
                                  </w:tcPr>
                                  <w:p w14:paraId="7A589461" w14:textId="4665B462" w:rsidR="00AC0AEA" w:rsidRDefault="00AC0AEA">
                                    <w:pPr>
                                      <w:jc w:val="center"/>
                                    </w:pPr>
                                    <w:r>
                                      <w:fldChar w:fldCharType="begin"/>
                                    </w:r>
                                    <w:r>
                                      <w:instrText xml:space="preserve"> INCLUDEPICTURE "https://mcusercontent.com/0e9feb1606f1b4129a8b65828/images/57277696-1119-dcfa-fbf4-2a49bd926dc9.jpg" \* MERGEFORMATINET </w:instrText>
                                    </w:r>
                                    <w:r>
                                      <w:fldChar w:fldCharType="separate"/>
                                    </w:r>
                                    <w:r>
                                      <w:rPr>
                                        <w:noProof/>
                                      </w:rPr>
                                      <w:drawing>
                                        <wp:inline distT="0" distB="0" distL="0" distR="0" wp14:anchorId="5190B0EC" wp14:editId="275015EC">
                                          <wp:extent cx="5727700" cy="3566160"/>
                                          <wp:effectExtent l="0" t="0" r="0" b="2540"/>
                                          <wp:docPr id="162880384" name="Picture 16" descr="A woman holding a sign at a protest: Do &quot;All Lives&quot; Still Matter? Asking for the Kids in C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woman holding a sign at a protest: Do &quot;All Lives&quot; Still Matter? Asking for the Kids in C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566160"/>
                                                  </a:xfrm>
                                                  <a:prstGeom prst="rect">
                                                    <a:avLst/>
                                                  </a:prstGeom>
                                                  <a:noFill/>
                                                  <a:ln>
                                                    <a:noFill/>
                                                  </a:ln>
                                                </pic:spPr>
                                              </pic:pic>
                                            </a:graphicData>
                                          </a:graphic>
                                        </wp:inline>
                                      </w:drawing>
                                    </w:r>
                                    <w:r>
                                      <w:fldChar w:fldCharType="end"/>
                                    </w:r>
                                  </w:p>
                                </w:tc>
                              </w:tr>
                              <w:tr w:rsidR="00AC0AEA" w14:paraId="220EFC0E" w14:textId="77777777">
                                <w:tc>
                                  <w:tcPr>
                                    <w:tcW w:w="8460" w:type="dxa"/>
                                    <w:tcMar>
                                      <w:top w:w="0" w:type="dxa"/>
                                      <w:left w:w="135" w:type="dxa"/>
                                      <w:bottom w:w="0" w:type="dxa"/>
                                      <w:right w:w="135" w:type="dxa"/>
                                    </w:tcMar>
                                    <w:hideMark/>
                                  </w:tcPr>
                                  <w:p w14:paraId="6BE5B28E" w14:textId="77777777" w:rsidR="00AC0AEA" w:rsidRDefault="00AC0AEA">
                                    <w:pPr>
                                      <w:pStyle w:val="Heading1"/>
                                      <w:spacing w:before="0" w:beforeAutospacing="0" w:after="0" w:afterAutospacing="0" w:line="488" w:lineRule="atLeast"/>
                                      <w:rPr>
                                        <w:rFonts w:ascii="Arial" w:hAnsi="Arial" w:cs="Arial"/>
                                        <w:color w:val="4C6AA2"/>
                                        <w:spacing w:val="-15"/>
                                        <w:sz w:val="39"/>
                                        <w:szCs w:val="39"/>
                                      </w:rPr>
                                    </w:pPr>
                                    <w:hyperlink r:id="rId25" w:tgtFrame="_blank" w:history="1">
                                      <w:r>
                                        <w:rPr>
                                          <w:rStyle w:val="Hyperlink"/>
                                          <w:rFonts w:ascii="Arial" w:hAnsi="Arial" w:cs="Arial"/>
                                          <w:color w:val="4C6AA2"/>
                                          <w:spacing w:val="-15"/>
                                          <w:sz w:val="30"/>
                                          <w:szCs w:val="30"/>
                                        </w:rPr>
                                        <w:t>US Moving Pregnant Immigrant Girls to Texas</w:t>
                                      </w:r>
                                    </w:hyperlink>
                                    <w:hyperlink r:id="rId26" w:history="1">
                                      <w:r>
                                        <w:rPr>
                                          <w:rStyle w:val="Hyperlink"/>
                                          <w:rFonts w:ascii="Arial" w:hAnsi="Arial" w:cs="Arial"/>
                                          <w:color w:val="4C6AA2"/>
                                          <w:spacing w:val="-15"/>
                                          <w:sz w:val="30"/>
                                          <w:szCs w:val="30"/>
                                        </w:rPr>
                                        <w:t> to Avoid Providing Abortions</w:t>
                                      </w:r>
                                    </w:hyperlink>
                                  </w:p>
                                  <w:p w14:paraId="65FFD158" w14:textId="77777777" w:rsidR="00AC0AEA" w:rsidRDefault="00AC0AEA">
                                    <w:pPr>
                                      <w:pStyle w:val="NormalWeb"/>
                                      <w:spacing w:before="150" w:beforeAutospacing="0" w:after="150" w:afterAutospacing="0" w:line="360" w:lineRule="atLeast"/>
                                      <w:jc w:val="both"/>
                                      <w:rPr>
                                        <w:rFonts w:ascii="Verdana" w:hAnsi="Verdana"/>
                                        <w:color w:val="4C6AA2"/>
                                      </w:rPr>
                                    </w:pPr>
                                    <w:r>
                                      <w:rPr>
                                        <w:rFonts w:ascii="Helvetica Neue" w:hAnsi="Helvetica Neue"/>
                                        <w:color w:val="000000"/>
                                        <w:sz w:val="18"/>
                                        <w:szCs w:val="18"/>
                                      </w:rPr>
                                      <w:t>Writing in the Guardian on 1 March, Melody Schreiber </w:t>
                                    </w:r>
                                    <w:hyperlink r:id="rId27" w:tgtFrame="_blank" w:tooltip="https://www.theguardian.com/us-news/2026/mar/01/pregnant-immigrant-children-texas-abortion" w:history="1">
                                      <w:r>
                                        <w:rPr>
                                          <w:rStyle w:val="Hyperlink"/>
                                          <w:rFonts w:ascii="Helvetica Neue" w:hAnsi="Helvetica Neue"/>
                                          <w:b/>
                                          <w:bCs/>
                                          <w:color w:val="4C6AA2"/>
                                          <w:sz w:val="18"/>
                                          <w:szCs w:val="18"/>
                                        </w:rPr>
                                        <w:t>reports</w:t>
                                      </w:r>
                                    </w:hyperlink>
                                    <w:r>
                                      <w:rPr>
                                        <w:rFonts w:ascii="Helvetica Neue" w:hAnsi="Helvetica Neue"/>
                                        <w:color w:val="000000"/>
                                        <w:sz w:val="18"/>
                                        <w:szCs w:val="18"/>
                                      </w:rPr>
                                      <w:t xml:space="preserve"> that the US administration’s movement of pregnant unaccompanied immigrant children to a facility in Texas may be motivated by the administration's opposition to abortion. Located in Dilley, the South Texas Family Residential </w:t>
                                    </w:r>
                                    <w:proofErr w:type="spellStart"/>
                                    <w:r>
                                      <w:rPr>
                                        <w:rFonts w:ascii="Helvetica Neue" w:hAnsi="Helvetica Neue"/>
                                        <w:color w:val="000000"/>
                                        <w:sz w:val="18"/>
                                        <w:szCs w:val="18"/>
                                      </w:rPr>
                                      <w:t>Center</w:t>
                                    </w:r>
                                    <w:proofErr w:type="spellEnd"/>
                                    <w:r>
                                      <w:rPr>
                                        <w:rFonts w:ascii="Helvetica Neue" w:hAnsi="Helvetica Neue"/>
                                        <w:color w:val="000000"/>
                                        <w:sz w:val="18"/>
                                        <w:szCs w:val="18"/>
                                      </w:rPr>
                                      <w:t xml:space="preserve"> has detained children as young as 13 since July 2025, with half of them pregnant </w:t>
                                    </w:r>
                                    <w:proofErr w:type="gramStart"/>
                                    <w:r>
                                      <w:rPr>
                                        <w:rFonts w:ascii="Helvetica Neue" w:hAnsi="Helvetica Neue"/>
                                        <w:color w:val="000000"/>
                                        <w:sz w:val="18"/>
                                        <w:szCs w:val="18"/>
                                      </w:rPr>
                                      <w:t>as a result of</w:t>
                                    </w:r>
                                    <w:proofErr w:type="gramEnd"/>
                                    <w:r>
                                      <w:rPr>
                                        <w:rFonts w:ascii="Helvetica Neue" w:hAnsi="Helvetica Neue"/>
                                        <w:color w:val="000000"/>
                                        <w:sz w:val="18"/>
                                        <w:szCs w:val="18"/>
                                      </w:rPr>
                                      <w:t xml:space="preserve"> rape. </w:t>
                                    </w:r>
                                    <w:r>
                                      <w:rPr>
                                        <w:rFonts w:ascii="Helvetica Neue" w:hAnsi="Helvetica Neue"/>
                                        <w:color w:val="000000"/>
                                        <w:sz w:val="18"/>
                                        <w:szCs w:val="18"/>
                                      </w:rPr>
                                      <w:br/>
                                    </w:r>
                                    <w:r>
                                      <w:rPr>
                                        <w:rFonts w:ascii="Helvetica Neue" w:hAnsi="Helvetica Neue"/>
                                        <w:color w:val="000000"/>
                                        <w:sz w:val="18"/>
                                        <w:szCs w:val="18"/>
                                      </w:rPr>
                                      <w:br/>
                                      <w:t xml:space="preserve">Schreiber assesses that the administration is consciously eroding detainees' right to reproductive healthcare by </w:t>
                                    </w:r>
                                    <w:proofErr w:type="spellStart"/>
                                    <w:r>
                                      <w:rPr>
                                        <w:rFonts w:ascii="Helvetica Neue" w:hAnsi="Helvetica Neue"/>
                                        <w:color w:val="000000"/>
                                        <w:sz w:val="18"/>
                                        <w:szCs w:val="18"/>
                                      </w:rPr>
                                      <w:t>weaponising</w:t>
                                    </w:r>
                                    <w:proofErr w:type="spellEnd"/>
                                    <w:r>
                                      <w:rPr>
                                        <w:rFonts w:ascii="Helvetica Neue" w:hAnsi="Helvetica Neue"/>
                                        <w:color w:val="000000"/>
                                        <w:sz w:val="18"/>
                                        <w:szCs w:val="18"/>
                                      </w:rPr>
                                      <w:t xml:space="preserve"> state-specific restrictions which make it difficult for a child to get an abortion. For girls who have fallen pregnant </w:t>
                                    </w:r>
                                    <w:proofErr w:type="gramStart"/>
                                    <w:r>
                                      <w:rPr>
                                        <w:rFonts w:ascii="Helvetica Neue" w:hAnsi="Helvetica Neue"/>
                                        <w:color w:val="000000"/>
                                        <w:sz w:val="18"/>
                                        <w:szCs w:val="18"/>
                                      </w:rPr>
                                      <w:t>as a result of</w:t>
                                    </w:r>
                                    <w:proofErr w:type="gramEnd"/>
                                    <w:r>
                                      <w:rPr>
                                        <w:rFonts w:ascii="Helvetica Neue" w:hAnsi="Helvetica Neue"/>
                                        <w:color w:val="000000"/>
                                        <w:sz w:val="18"/>
                                        <w:szCs w:val="18"/>
                                      </w:rPr>
                                      <w:t xml:space="preserve"> rape, there remains a disturbing lack of information about perpetrators' identities with many cases of sexual assault occurring either in their home country or in transit. </w:t>
                                    </w:r>
                                    <w:r>
                                      <w:rPr>
                                        <w:rFonts w:ascii="Helvetica Neue" w:hAnsi="Helvetica Neue"/>
                                        <w:color w:val="000000"/>
                                        <w:sz w:val="18"/>
                                        <w:szCs w:val="18"/>
                                      </w:rPr>
                                      <w:br/>
                                    </w:r>
                                    <w:r>
                                      <w:rPr>
                                        <w:rFonts w:ascii="Helvetica Neue" w:hAnsi="Helvetica Neue"/>
                                        <w:color w:val="000000"/>
                                        <w:sz w:val="18"/>
                                        <w:szCs w:val="18"/>
                                      </w:rPr>
                                      <w:br/>
                                      <w:t xml:space="preserve">Amongst escalating concerns about human rights violations committed by ICE and reports of egregious abuse and unsanitary conditions within detention centres, the US continues to deny basic support to </w:t>
                                    </w:r>
                                    <w:r>
                                      <w:rPr>
                                        <w:rFonts w:ascii="Helvetica Neue" w:hAnsi="Helvetica Neue"/>
                                        <w:color w:val="000000"/>
                                        <w:sz w:val="18"/>
                                        <w:szCs w:val="18"/>
                                      </w:rPr>
                                      <w:lastRenderedPageBreak/>
                                      <w:t>immigrants. </w:t>
                                    </w:r>
                                    <w:r>
                                      <w:rPr>
                                        <w:rFonts w:ascii="Helvetica Neue" w:hAnsi="Helvetica Neue"/>
                                        <w:color w:val="4C6AA2"/>
                                      </w:rPr>
                                      <w:br/>
                                    </w:r>
                                    <w:r>
                                      <w:rPr>
                                        <w:rFonts w:ascii="Helvetica Neue" w:hAnsi="Helvetica Neue"/>
                                        <w:color w:val="4C6AA2"/>
                                      </w:rPr>
                                      <w:br/>
                                    </w:r>
                                    <w:r>
                                      <w:rPr>
                                        <w:rFonts w:ascii="Helvetica Neue" w:hAnsi="Helvetica Neue"/>
                                        <w:color w:val="000000"/>
                                        <w:sz w:val="17"/>
                                        <w:szCs w:val="17"/>
                                      </w:rPr>
                                      <w:t>Image credit: Thomas Hawk via </w:t>
                                    </w:r>
                                    <w:hyperlink r:id="rId28" w:tgtFrame="_blank" w:history="1">
                                      <w:r>
                                        <w:rPr>
                                          <w:rStyle w:val="Hyperlink"/>
                                          <w:rFonts w:ascii="Helvetica Neue" w:hAnsi="Helvetica Neue"/>
                                          <w:b/>
                                          <w:bCs/>
                                          <w:color w:val="4C6AA2"/>
                                          <w:sz w:val="17"/>
                                          <w:szCs w:val="17"/>
                                        </w:rPr>
                                        <w:t>Flickr</w:t>
                                      </w:r>
                                    </w:hyperlink>
                                  </w:p>
                                </w:tc>
                              </w:tr>
                            </w:tbl>
                            <w:p w14:paraId="33E86BD2" w14:textId="77777777" w:rsidR="00AC0AEA" w:rsidRDefault="00AC0AEA">
                              <w:pPr>
                                <w:rPr>
                                  <w:rFonts w:ascii="Times New Roman" w:hAnsi="Times New Roman"/>
                                </w:rPr>
                              </w:pPr>
                            </w:p>
                          </w:tc>
                        </w:tr>
                      </w:tbl>
                      <w:p w14:paraId="38C4B3D6"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581D961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7E1EC217" w14:textId="77777777">
                                <w:tc>
                                  <w:tcPr>
                                    <w:tcW w:w="0" w:type="auto"/>
                                    <w:vAlign w:val="center"/>
                                    <w:hideMark/>
                                  </w:tcPr>
                                  <w:p w14:paraId="6D33FA85" w14:textId="77777777" w:rsidR="00AC0AEA" w:rsidRDefault="00AC0AEA"/>
                                </w:tc>
                              </w:tr>
                            </w:tbl>
                            <w:p w14:paraId="7D08DD45" w14:textId="77777777" w:rsidR="00AC0AEA" w:rsidRDefault="00AC0AEA"/>
                          </w:tc>
                        </w:tr>
                      </w:tbl>
                      <w:p w14:paraId="02135A68"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3A21C5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36921344" w14:textId="77777777">
                                <w:tc>
                                  <w:tcPr>
                                    <w:tcW w:w="0" w:type="auto"/>
                                    <w:tcMar>
                                      <w:top w:w="0" w:type="dxa"/>
                                      <w:left w:w="270" w:type="dxa"/>
                                      <w:bottom w:w="135" w:type="dxa"/>
                                      <w:right w:w="270" w:type="dxa"/>
                                    </w:tcMar>
                                    <w:hideMark/>
                                  </w:tcPr>
                                  <w:p w14:paraId="3B7FF2CA" w14:textId="77777777" w:rsidR="00AC0AEA" w:rsidRDefault="00AC0AEA">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t xml:space="preserve">This column was written by Kimmy Kwok. Kimmy is a </w:t>
                                    </w:r>
                                    <w:proofErr w:type="gramStart"/>
                                    <w:r>
                                      <w:rPr>
                                        <w:rStyle w:val="Emphasis"/>
                                        <w:rFonts w:ascii="Helvetica Neue" w:hAnsi="Helvetica Neue"/>
                                        <w:color w:val="000000"/>
                                        <w:sz w:val="17"/>
                                        <w:szCs w:val="17"/>
                                      </w:rPr>
                                      <w:t>third year</w:t>
                                    </w:r>
                                    <w:proofErr w:type="gramEnd"/>
                                    <w:r>
                                      <w:rPr>
                                        <w:rStyle w:val="Emphasis"/>
                                        <w:rFonts w:ascii="Helvetica Neue" w:hAnsi="Helvetica Neue"/>
                                        <w:color w:val="000000"/>
                                        <w:sz w:val="17"/>
                                        <w:szCs w:val="17"/>
                                      </w:rPr>
                                      <w:t xml:space="preserve"> student at the University of New South Wales studying a Bachelor </w:t>
                                    </w:r>
                                    <w:proofErr w:type="gramStart"/>
                                    <w:r>
                                      <w:rPr>
                                        <w:rStyle w:val="Emphasis"/>
                                        <w:rFonts w:ascii="Helvetica Neue" w:hAnsi="Helvetica Neue"/>
                                        <w:color w:val="000000"/>
                                        <w:sz w:val="17"/>
                                        <w:szCs w:val="17"/>
                                      </w:rPr>
                                      <w:t>of  Law</w:t>
                                    </w:r>
                                    <w:proofErr w:type="gramEnd"/>
                                    <w:r>
                                      <w:rPr>
                                        <w:rStyle w:val="Emphasis"/>
                                        <w:rFonts w:ascii="Helvetica Neue" w:hAnsi="Helvetica Neue"/>
                                        <w:color w:val="000000"/>
                                        <w:sz w:val="17"/>
                                        <w:szCs w:val="17"/>
                                      </w:rPr>
                                      <w:t xml:space="preserve"> and Arts majoring in Politics and International Relations. She is currently President of UNSW's United Nations Society.</w:t>
                                    </w:r>
                                  </w:p>
                                </w:tc>
                              </w:tr>
                            </w:tbl>
                            <w:p w14:paraId="1CF9E70E" w14:textId="77777777" w:rsidR="00AC0AEA" w:rsidRDefault="00AC0AEA">
                              <w:pPr>
                                <w:rPr>
                                  <w:rFonts w:ascii="Times New Roman" w:hAnsi="Times New Roman"/>
                                </w:rPr>
                              </w:pPr>
                            </w:p>
                          </w:tc>
                        </w:tr>
                      </w:tbl>
                      <w:p w14:paraId="3C99E951"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065D591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377BA685" w14:textId="77777777">
                                <w:tc>
                                  <w:tcPr>
                                    <w:tcW w:w="0" w:type="auto"/>
                                    <w:vAlign w:val="center"/>
                                    <w:hideMark/>
                                  </w:tcPr>
                                  <w:p w14:paraId="7798AEED" w14:textId="77777777" w:rsidR="00AC0AEA" w:rsidRDefault="00AC0AEA"/>
                                </w:tc>
                              </w:tr>
                            </w:tbl>
                            <w:p w14:paraId="1DB00FDD" w14:textId="77777777" w:rsidR="00AC0AEA" w:rsidRDefault="00AC0AEA"/>
                          </w:tc>
                        </w:tr>
                      </w:tbl>
                      <w:p w14:paraId="462EBB77"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39E70C9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23FEA52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C0AEA" w14:paraId="2239D25C" w14:textId="77777777">
                                      <w:tc>
                                        <w:tcPr>
                                          <w:tcW w:w="0" w:type="auto"/>
                                          <w:shd w:val="clear" w:color="auto" w:fill="4B6AA2"/>
                                          <w:tcMar>
                                            <w:top w:w="270" w:type="dxa"/>
                                            <w:left w:w="270" w:type="dxa"/>
                                            <w:bottom w:w="270" w:type="dxa"/>
                                            <w:right w:w="270" w:type="dxa"/>
                                          </w:tcMar>
                                          <w:hideMark/>
                                        </w:tcPr>
                                        <w:p w14:paraId="09DA995A" w14:textId="77777777" w:rsidR="00AC0AEA" w:rsidRDefault="00AC0AE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F47E3E6" w14:textId="77777777" w:rsidR="00AC0AEA" w:rsidRDefault="00AC0AEA">
                                    <w:pPr>
                                      <w:rPr>
                                        <w:rFonts w:ascii="Times New Roman" w:hAnsi="Times New Roman"/>
                                      </w:rPr>
                                    </w:pPr>
                                  </w:p>
                                </w:tc>
                              </w:tr>
                            </w:tbl>
                            <w:p w14:paraId="7B139925" w14:textId="77777777" w:rsidR="00AC0AEA" w:rsidRDefault="00AC0AEA"/>
                          </w:tc>
                        </w:tr>
                      </w:tbl>
                      <w:p w14:paraId="6FD9CE58"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5DC556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7A1D9F5F" w14:textId="77777777">
                                <w:tc>
                                  <w:tcPr>
                                    <w:tcW w:w="0" w:type="auto"/>
                                    <w:tcMar>
                                      <w:top w:w="0" w:type="dxa"/>
                                      <w:left w:w="270" w:type="dxa"/>
                                      <w:bottom w:w="135" w:type="dxa"/>
                                      <w:right w:w="270" w:type="dxa"/>
                                    </w:tcMar>
                                    <w:hideMark/>
                                  </w:tcPr>
                                  <w:p w14:paraId="11CE049A" w14:textId="77777777" w:rsidR="00AC0AEA" w:rsidRDefault="00AC0AEA" w:rsidP="00AC0AEA">
                                    <w:pPr>
                                      <w:pStyle w:val="NormalWeb"/>
                                      <w:numPr>
                                        <w:ilvl w:val="0"/>
                                        <w:numId w:val="26"/>
                                      </w:numPr>
                                      <w:spacing w:before="150" w:beforeAutospacing="0" w:after="150" w:afterAutospacing="0" w:line="360" w:lineRule="atLeast"/>
                                      <w:rPr>
                                        <w:rFonts w:ascii="Verdana" w:hAnsi="Verdana"/>
                                        <w:color w:val="000000"/>
                                      </w:rPr>
                                    </w:pPr>
                                    <w:r>
                                      <w:rPr>
                                        <w:rFonts w:ascii="Helvetica Neue" w:hAnsi="Helvetica Neue"/>
                                        <w:color w:val="000000"/>
                                        <w:sz w:val="18"/>
                                        <w:szCs w:val="18"/>
                                      </w:rPr>
                                      <w:t>Louis Theroux on </w:t>
                                    </w:r>
                                    <w:r>
                                      <w:rPr>
                                        <w:rStyle w:val="Emphasis"/>
                                        <w:rFonts w:ascii="Helvetica Neue" w:hAnsi="Helvetica Neue"/>
                                        <w:color w:val="000000"/>
                                        <w:sz w:val="18"/>
                                        <w:szCs w:val="18"/>
                                      </w:rPr>
                                      <w:t>Netflix </w:t>
                                    </w:r>
                                    <w:hyperlink r:id="rId29" w:tgtFrame="_blank" w:history="1">
                                      <w:r>
                                        <w:rPr>
                                          <w:rStyle w:val="Hyperlink"/>
                                          <w:rFonts w:ascii="Helvetica Neue" w:hAnsi="Helvetica Neue"/>
                                          <w:b/>
                                          <w:bCs/>
                                          <w:color w:val="4C6AA2"/>
                                          <w:sz w:val="18"/>
                                          <w:szCs w:val="18"/>
                                        </w:rPr>
                                        <w:t>investigates</w:t>
                                      </w:r>
                                    </w:hyperlink>
                                    <w:r>
                                      <w:rPr>
                                        <w:rFonts w:ascii="Helvetica Neue" w:hAnsi="Helvetica Neue"/>
                                        <w:color w:val="000000"/>
                                        <w:sz w:val="18"/>
                                        <w:szCs w:val="18"/>
                                      </w:rPr>
                                      <w:t> the surge of toxic masculinity in his documentary "Inside the Manosphere", interviewing online stars on why they produce "red pill" content. </w:t>
                                    </w:r>
                                  </w:p>
                                  <w:p w14:paraId="27933A60" w14:textId="77777777" w:rsidR="00AC0AEA" w:rsidRDefault="00AC0AEA" w:rsidP="00AC0AEA">
                                    <w:pPr>
                                      <w:pStyle w:val="NormalWeb"/>
                                      <w:numPr>
                                        <w:ilvl w:val="0"/>
                                        <w:numId w:val="26"/>
                                      </w:numPr>
                                      <w:spacing w:before="150" w:beforeAutospacing="0" w:after="150" w:afterAutospacing="0" w:line="360" w:lineRule="atLeast"/>
                                      <w:rPr>
                                        <w:rFonts w:ascii="Verdana" w:hAnsi="Verdana"/>
                                        <w:color w:val="000000"/>
                                      </w:rPr>
                                    </w:pPr>
                                    <w:r>
                                      <w:rPr>
                                        <w:rFonts w:ascii="Helvetica Neue" w:hAnsi="Helvetica Neue"/>
                                        <w:color w:val="000000"/>
                                        <w:sz w:val="18"/>
                                        <w:szCs w:val="18"/>
                                      </w:rPr>
                                      <w:t>Jason Vadnos of the Charles F. Kettering Foundation </w:t>
                                    </w:r>
                                    <w:hyperlink r:id="rId30" w:tgtFrame="_blank" w:history="1">
                                      <w:r>
                                        <w:rPr>
                                          <w:rStyle w:val="Hyperlink"/>
                                          <w:rFonts w:ascii="Helvetica Neue" w:hAnsi="Helvetica Neue"/>
                                          <w:b/>
                                          <w:bCs/>
                                          <w:color w:val="4C6AA2"/>
                                          <w:sz w:val="18"/>
                                          <w:szCs w:val="18"/>
                                        </w:rPr>
                                        <w:t>debunks</w:t>
                                      </w:r>
                                    </w:hyperlink>
                                    <w:r>
                                      <w:rPr>
                                        <w:rFonts w:ascii="Helvetica Neue" w:hAnsi="Helvetica Neue"/>
                                        <w:color w:val="000000"/>
                                        <w:sz w:val="18"/>
                                        <w:szCs w:val="18"/>
                                      </w:rPr>
                                      <w:t> "the myth of youth apathy" and argues that while Gen Z is sceptical of the current world order, they are not ignorant and remain actively engaged with political issues.</w:t>
                                    </w:r>
                                  </w:p>
                                  <w:p w14:paraId="563331B7" w14:textId="77777777" w:rsidR="00AC0AEA" w:rsidRDefault="00AC0AEA" w:rsidP="00AC0AEA">
                                    <w:pPr>
                                      <w:pStyle w:val="NormalWeb"/>
                                      <w:numPr>
                                        <w:ilvl w:val="0"/>
                                        <w:numId w:val="26"/>
                                      </w:numPr>
                                      <w:spacing w:before="150" w:beforeAutospacing="0" w:after="150" w:afterAutospacing="0" w:line="360" w:lineRule="atLeast"/>
                                      <w:rPr>
                                        <w:rFonts w:ascii="Verdana" w:hAnsi="Verdana"/>
                                        <w:color w:val="000000"/>
                                      </w:rPr>
                                    </w:pPr>
                                    <w:r>
                                      <w:rPr>
                                        <w:rFonts w:ascii="Helvetica Neue" w:hAnsi="Helvetica Neue"/>
                                        <w:color w:val="000000"/>
                                        <w:sz w:val="18"/>
                                        <w:szCs w:val="18"/>
                                      </w:rPr>
                                      <w:t>Robert Pape joins </w:t>
                                    </w:r>
                                    <w:r>
                                      <w:rPr>
                                        <w:rStyle w:val="Emphasis"/>
                                        <w:rFonts w:ascii="Helvetica Neue" w:hAnsi="Helvetica Neue"/>
                                        <w:color w:val="000000"/>
                                        <w:sz w:val="18"/>
                                        <w:szCs w:val="18"/>
                                      </w:rPr>
                                      <w:t>The Diary of a CEO </w:t>
                                    </w:r>
                                    <w:r>
                                      <w:rPr>
                                        <w:rFonts w:ascii="Helvetica Neue" w:hAnsi="Helvetica Neue"/>
                                        <w:color w:val="000000"/>
                                        <w:sz w:val="18"/>
                                        <w:szCs w:val="18"/>
                                      </w:rPr>
                                      <w:t>to </w:t>
                                    </w:r>
                                    <w:hyperlink r:id="rId31" w:tgtFrame="_blank" w:history="1">
                                      <w:r>
                                        <w:rPr>
                                          <w:rStyle w:val="Hyperlink"/>
                                          <w:rFonts w:ascii="Helvetica Neue" w:hAnsi="Helvetica Neue"/>
                                          <w:b/>
                                          <w:bCs/>
                                          <w:color w:val="4C6AA2"/>
                                          <w:sz w:val="18"/>
                                          <w:szCs w:val="18"/>
                                        </w:rPr>
                                        <w:t>unpack</w:t>
                                      </w:r>
                                    </w:hyperlink>
                                    <w:r>
                                      <w:rPr>
                                        <w:rFonts w:ascii="Helvetica Neue" w:hAnsi="Helvetica Neue"/>
                                        <w:color w:val="000000"/>
                                        <w:sz w:val="18"/>
                                        <w:szCs w:val="18"/>
                                      </w:rPr>
                                      <w:t> future scenarios for the war in Iran, focusing on how the United States is falling into an “escalation trap".</w:t>
                                    </w:r>
                                  </w:p>
                                  <w:p w14:paraId="05072635" w14:textId="77777777" w:rsidR="00AC0AEA" w:rsidRDefault="00AC0AEA" w:rsidP="00AC0AEA">
                                    <w:pPr>
                                      <w:numPr>
                                        <w:ilvl w:val="0"/>
                                        <w:numId w:val="26"/>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Pearls and Irritations</w:t>
                                    </w:r>
                                    <w:r>
                                      <w:rPr>
                                        <w:rFonts w:ascii="Helvetica Neue" w:hAnsi="Helvetica Neue"/>
                                        <w:color w:val="000000"/>
                                        <w:sz w:val="18"/>
                                        <w:szCs w:val="18"/>
                                      </w:rPr>
                                      <w:t>, Miriam Farida </w:t>
                                    </w:r>
                                    <w:hyperlink r:id="rId32" w:tgtFrame="_blank" w:history="1">
                                      <w:r>
                                        <w:rPr>
                                          <w:rStyle w:val="Hyperlink"/>
                                          <w:rFonts w:ascii="Helvetica Neue" w:hAnsi="Helvetica Neue"/>
                                          <w:b/>
                                          <w:bCs/>
                                          <w:color w:val="4C6AA2"/>
                                          <w:sz w:val="18"/>
                                          <w:szCs w:val="18"/>
                                        </w:rPr>
                                        <w:t>predicts </w:t>
                                      </w:r>
                                    </w:hyperlink>
                                    <w:r>
                                      <w:rPr>
                                        <w:rFonts w:ascii="Helvetica Neue" w:hAnsi="Helvetica Neue"/>
                                        <w:color w:val="000000"/>
                                        <w:sz w:val="18"/>
                                        <w:szCs w:val="18"/>
                                      </w:rPr>
                                      <w:t>that Israel’s operations inside Lebanon against Hezbollah could lead to wider escalation and renewed Israeli occupation.</w:t>
                                    </w:r>
                                  </w:p>
                                  <w:p w14:paraId="7E5161DE" w14:textId="77777777" w:rsidR="00AC0AEA" w:rsidRDefault="00AC0AEA" w:rsidP="00AC0AEA">
                                    <w:pPr>
                                      <w:numPr>
                                        <w:ilvl w:val="0"/>
                                        <w:numId w:val="26"/>
                                      </w:numPr>
                                      <w:spacing w:before="100" w:beforeAutospacing="1" w:after="75" w:line="360" w:lineRule="atLeast"/>
                                      <w:rPr>
                                        <w:rFonts w:ascii="Verdana" w:hAnsi="Verdana"/>
                                        <w:color w:val="000000"/>
                                      </w:rPr>
                                    </w:pPr>
                                    <w:r>
                                      <w:rPr>
                                        <w:rFonts w:ascii="Helvetica Neue" w:hAnsi="Helvetica Neue"/>
                                        <w:color w:val="000000"/>
                                        <w:sz w:val="18"/>
                                        <w:szCs w:val="18"/>
                                      </w:rPr>
                                      <w:t>ABC's</w:t>
                                    </w:r>
                                    <w:r>
                                      <w:rPr>
                                        <w:rStyle w:val="Emphasis"/>
                                        <w:rFonts w:ascii="Helvetica Neue" w:hAnsi="Helvetica Neue"/>
                                        <w:color w:val="000000"/>
                                        <w:sz w:val="18"/>
                                        <w:szCs w:val="18"/>
                                      </w:rPr>
                                      <w:t> Foreign Correspondent</w:t>
                                    </w:r>
                                    <w:r>
                                      <w:rPr>
                                        <w:rFonts w:ascii="Helvetica Neue" w:hAnsi="Helvetica Neue"/>
                                        <w:color w:val="000000"/>
                                        <w:sz w:val="18"/>
                                        <w:szCs w:val="18"/>
                                      </w:rPr>
                                      <w:t> </w:t>
                                    </w:r>
                                    <w:hyperlink r:id="rId33" w:tgtFrame="_blank" w:history="1">
                                      <w:r>
                                        <w:rPr>
                                          <w:rStyle w:val="Hyperlink"/>
                                          <w:rFonts w:ascii="Helvetica Neue" w:hAnsi="Helvetica Neue"/>
                                          <w:b/>
                                          <w:bCs/>
                                          <w:color w:val="4C6AA2"/>
                                          <w:sz w:val="18"/>
                                          <w:szCs w:val="18"/>
                                        </w:rPr>
                                        <w:t>investigates</w:t>
                                      </w:r>
                                    </w:hyperlink>
                                    <w:r>
                                      <w:rPr>
                                        <w:rFonts w:ascii="Helvetica Neue" w:hAnsi="Helvetica Neue"/>
                                        <w:color w:val="000000"/>
                                        <w:sz w:val="18"/>
                                        <w:szCs w:val="18"/>
                                      </w:rPr>
                                      <w:t> the US seizure of Venezuela's oil industry, examining how Trump's high-stakes gamble to control 18% of the world's oil reserves risks deepening an already catastrophic humanitarian crisis.</w:t>
                                    </w:r>
                                  </w:p>
                                  <w:p w14:paraId="13247EB5" w14:textId="77777777" w:rsidR="00AC0AEA" w:rsidRDefault="00AC0AEA" w:rsidP="00AC0AEA">
                                    <w:pPr>
                                      <w:numPr>
                                        <w:ilvl w:val="0"/>
                                        <w:numId w:val="26"/>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Conversation</w:t>
                                    </w:r>
                                    <w:r>
                                      <w:rPr>
                                        <w:rFonts w:ascii="Helvetica Neue" w:hAnsi="Helvetica Neue"/>
                                        <w:color w:val="000000"/>
                                        <w:sz w:val="18"/>
                                        <w:szCs w:val="18"/>
                                      </w:rPr>
                                      <w:t>, Hazel Moir </w:t>
                                    </w:r>
                                    <w:hyperlink r:id="rId34" w:tgtFrame="_blank" w:history="1">
                                      <w:r>
                                        <w:rPr>
                                          <w:rStyle w:val="Hyperlink"/>
                                          <w:rFonts w:ascii="Helvetica Neue" w:hAnsi="Helvetica Neue"/>
                                          <w:b/>
                                          <w:bCs/>
                                          <w:color w:val="4C6AA2"/>
                                          <w:sz w:val="18"/>
                                          <w:szCs w:val="18"/>
                                        </w:rPr>
                                        <w:t>assesses</w:t>
                                      </w:r>
                                    </w:hyperlink>
                                    <w:r>
                                      <w:rPr>
                                        <w:rFonts w:ascii="Helvetica Neue" w:hAnsi="Helvetica Neue"/>
                                        <w:color w:val="000000"/>
                                        <w:sz w:val="18"/>
                                        <w:szCs w:val="18"/>
                                      </w:rPr>
                                      <w:t> the substantial free trade agreement concluded by Australia and the EU after eight years of complex negotiations.</w:t>
                                    </w:r>
                                  </w:p>
                                </w:tc>
                              </w:tr>
                            </w:tbl>
                            <w:p w14:paraId="5D77F380" w14:textId="77777777" w:rsidR="00AC0AEA" w:rsidRDefault="00AC0AEA">
                              <w:pPr>
                                <w:rPr>
                                  <w:rFonts w:ascii="Times New Roman" w:hAnsi="Times New Roman"/>
                                </w:rPr>
                              </w:pPr>
                            </w:p>
                          </w:tc>
                        </w:tr>
                      </w:tbl>
                      <w:p w14:paraId="768A0260"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0A72C1D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C0AEA" w14:paraId="79259307" w14:textId="77777777">
                                <w:tc>
                                  <w:tcPr>
                                    <w:tcW w:w="0" w:type="auto"/>
                                    <w:vAlign w:val="center"/>
                                    <w:hideMark/>
                                  </w:tcPr>
                                  <w:p w14:paraId="278A2120" w14:textId="77777777" w:rsidR="00AC0AEA" w:rsidRDefault="00AC0AEA"/>
                                </w:tc>
                              </w:tr>
                            </w:tbl>
                            <w:p w14:paraId="31865B8B" w14:textId="77777777" w:rsidR="00AC0AEA" w:rsidRDefault="00AC0AEA"/>
                          </w:tc>
                        </w:tr>
                      </w:tbl>
                      <w:p w14:paraId="6F82D627"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2D149E3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39527DE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C0AEA" w14:paraId="0A1AEA86" w14:textId="77777777">
                                      <w:tc>
                                        <w:tcPr>
                                          <w:tcW w:w="0" w:type="auto"/>
                                          <w:shd w:val="clear" w:color="auto" w:fill="4B6AA2"/>
                                          <w:tcMar>
                                            <w:top w:w="270" w:type="dxa"/>
                                            <w:left w:w="270" w:type="dxa"/>
                                            <w:bottom w:w="270" w:type="dxa"/>
                                            <w:right w:w="270" w:type="dxa"/>
                                          </w:tcMar>
                                          <w:hideMark/>
                                        </w:tcPr>
                                        <w:p w14:paraId="095E84D7" w14:textId="77777777" w:rsidR="00AC0AEA" w:rsidRDefault="00AC0AE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Upcoming Events</w:t>
                                          </w:r>
                                        </w:p>
                                      </w:tc>
                                    </w:tr>
                                  </w:tbl>
                                  <w:p w14:paraId="45A3D5EB" w14:textId="77777777" w:rsidR="00AC0AEA" w:rsidRDefault="00AC0AEA">
                                    <w:pPr>
                                      <w:rPr>
                                        <w:rFonts w:ascii="Times New Roman" w:hAnsi="Times New Roman"/>
                                      </w:rPr>
                                    </w:pPr>
                                  </w:p>
                                </w:tc>
                              </w:tr>
                            </w:tbl>
                            <w:p w14:paraId="2CB4BF1E" w14:textId="77777777" w:rsidR="00AC0AEA" w:rsidRDefault="00AC0AEA"/>
                          </w:tc>
                        </w:tr>
                      </w:tbl>
                      <w:p w14:paraId="0B06864A"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7D7F95E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C0AEA" w14:paraId="6F941E66" w14:textId="77777777">
                                <w:tc>
                                  <w:tcPr>
                                    <w:tcW w:w="0" w:type="auto"/>
                                    <w:vAlign w:val="center"/>
                                    <w:hideMark/>
                                  </w:tcPr>
                                  <w:p w14:paraId="145A845A" w14:textId="77777777" w:rsidR="00AC0AEA" w:rsidRDefault="00AC0AEA"/>
                                </w:tc>
                              </w:tr>
                            </w:tbl>
                            <w:p w14:paraId="205F279E" w14:textId="77777777" w:rsidR="00AC0AEA" w:rsidRDefault="00AC0AEA"/>
                          </w:tc>
                        </w:tr>
                      </w:tbl>
                      <w:p w14:paraId="22A710B8"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0EEFF8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C0AEA" w14:paraId="7283F225" w14:textId="77777777">
                                <w:tc>
                                  <w:tcPr>
                                    <w:tcW w:w="0" w:type="auto"/>
                                    <w:tcMar>
                                      <w:top w:w="0" w:type="dxa"/>
                                      <w:left w:w="270" w:type="dxa"/>
                                      <w:bottom w:w="135" w:type="dxa"/>
                                      <w:right w:w="270" w:type="dxa"/>
                                    </w:tcMar>
                                    <w:hideMark/>
                                  </w:tcPr>
                                  <w:p w14:paraId="7E392D18" w14:textId="77777777" w:rsidR="00AC0AEA" w:rsidRDefault="00AC0AEA">
                                    <w:pPr>
                                      <w:pStyle w:val="Heading3"/>
                                      <w:spacing w:before="0" w:line="300" w:lineRule="atLeast"/>
                                      <w:rPr>
                                        <w:rFonts w:ascii="Arial" w:hAnsi="Arial" w:cs="Arial"/>
                                        <w:color w:val="303030"/>
                                        <w:spacing w:val="-8"/>
                                      </w:rPr>
                                    </w:pPr>
                                    <w:hyperlink r:id="rId35" w:tgtFrame="_blank" w:history="1">
                                      <w:r>
                                        <w:rPr>
                                          <w:rStyle w:val="Hyperlink"/>
                                          <w:rFonts w:ascii="Helvetica Neue" w:hAnsi="Helvetica Neue" w:cs="Arial"/>
                                          <w:color w:val="4C6AA2"/>
                                          <w:spacing w:val="-8"/>
                                          <w:sz w:val="30"/>
                                          <w:szCs w:val="30"/>
                                        </w:rPr>
                                        <w:t>Europe’s Unfinished Frontier: the Western Balkans between Brussels, Beijing, and Moscow</w:t>
                                      </w:r>
                                    </w:hyperlink>
                                    <w:r>
                                      <w:rPr>
                                        <w:rFonts w:ascii="Helvetica Neue" w:hAnsi="Helvetica Neue" w:cs="Arial"/>
                                        <w:b/>
                                        <w:bCs/>
                                        <w:color w:val="303030"/>
                                        <w:spacing w:val="-8"/>
                                      </w:rPr>
                                      <w:br/>
                                    </w:r>
                                    <w:r>
                                      <w:rPr>
                                        <w:rFonts w:ascii="Helvetica Neue" w:hAnsi="Helvetica Neue" w:cs="Arial"/>
                                        <w:b/>
                                        <w:bCs/>
                                        <w:color w:val="303030"/>
                                        <w:spacing w:val="-8"/>
                                      </w:rPr>
                                      <w:lastRenderedPageBreak/>
                                      <w:br/>
                                    </w:r>
                                    <w:r>
                                      <w:rPr>
                                        <w:rFonts w:ascii="Helvetica Neue" w:hAnsi="Helvetica Neue" w:cs="Arial"/>
                                        <w:b/>
                                        <w:bCs/>
                                        <w:color w:val="000000"/>
                                        <w:spacing w:val="-8"/>
                                        <w:sz w:val="18"/>
                                        <w:szCs w:val="18"/>
                                      </w:rPr>
                                      <w:t>Join us on Tuesday 31 March at Glover Cottages for an address by </w:t>
                                    </w:r>
                                    <w:r>
                                      <w:rPr>
                                        <w:rStyle w:val="Strong"/>
                                        <w:rFonts w:ascii="Helvetica Neue" w:hAnsi="Helvetica Neue" w:cs="Arial"/>
                                        <w:b w:val="0"/>
                                        <w:bCs w:val="0"/>
                                        <w:color w:val="000000"/>
                                        <w:spacing w:val="-8"/>
                                        <w:sz w:val="18"/>
                                        <w:szCs w:val="18"/>
                                      </w:rPr>
                                      <w:t>Dr</w:t>
                                    </w:r>
                                    <w:r>
                                      <w:rPr>
                                        <w:rFonts w:ascii="Helvetica Neue" w:hAnsi="Helvetica Neue" w:cs="Arial"/>
                                        <w:b/>
                                        <w:bCs/>
                                        <w:color w:val="000000"/>
                                        <w:spacing w:val="-8"/>
                                        <w:sz w:val="18"/>
                                        <w:szCs w:val="18"/>
                                      </w:rPr>
                                      <w:t> </w:t>
                                    </w:r>
                                    <w:r>
                                      <w:rPr>
                                        <w:rStyle w:val="Strong"/>
                                        <w:rFonts w:ascii="Helvetica Neue" w:hAnsi="Helvetica Neue" w:cs="Arial"/>
                                        <w:b w:val="0"/>
                                        <w:bCs w:val="0"/>
                                        <w:color w:val="000000"/>
                                        <w:spacing w:val="-8"/>
                                        <w:sz w:val="18"/>
                                        <w:szCs w:val="18"/>
                                      </w:rPr>
                                      <w:t>Nina Markovic Khaze</w:t>
                                    </w:r>
                                    <w:r>
                                      <w:rPr>
                                        <w:rFonts w:ascii="Helvetica Neue" w:hAnsi="Helvetica Neue" w:cs="Arial"/>
                                        <w:b/>
                                        <w:bCs/>
                                        <w:color w:val="000000"/>
                                        <w:spacing w:val="-8"/>
                                        <w:sz w:val="18"/>
                                        <w:szCs w:val="18"/>
                                      </w:rPr>
                                      <w:t>, scholar at the Australian National University Centre for European Studies.</w:t>
                                    </w:r>
                                    <w:r>
                                      <w:rPr>
                                        <w:rFonts w:ascii="Helvetica Neue" w:hAnsi="Helvetica Neue" w:cs="Arial"/>
                                        <w:b/>
                                        <w:bCs/>
                                        <w:color w:val="000000"/>
                                        <w:spacing w:val="-8"/>
                                        <w:sz w:val="18"/>
                                        <w:szCs w:val="18"/>
                                      </w:rPr>
                                      <w:br/>
                                    </w:r>
                                    <w:r>
                                      <w:rPr>
                                        <w:rFonts w:ascii="Helvetica Neue" w:hAnsi="Helvetica Neue" w:cs="Arial"/>
                                        <w:b/>
                                        <w:bCs/>
                                        <w:color w:val="000000"/>
                                        <w:spacing w:val="-8"/>
                                        <w:sz w:val="18"/>
                                        <w:szCs w:val="18"/>
                                      </w:rPr>
                                      <w:br/>
                                      <w:t xml:space="preserve">Dr </w:t>
                                    </w:r>
                                    <w:proofErr w:type="spellStart"/>
                                    <w:r>
                                      <w:rPr>
                                        <w:rFonts w:ascii="Helvetica Neue" w:hAnsi="Helvetica Neue" w:cs="Arial"/>
                                        <w:b/>
                                        <w:bCs/>
                                        <w:color w:val="000000"/>
                                        <w:spacing w:val="-8"/>
                                        <w:sz w:val="18"/>
                                        <w:szCs w:val="18"/>
                                      </w:rPr>
                                      <w:t>Khaze</w:t>
                                    </w:r>
                                    <w:proofErr w:type="spellEnd"/>
                                    <w:r>
                                      <w:rPr>
                                        <w:rFonts w:ascii="Helvetica Neue" w:hAnsi="Helvetica Neue" w:cs="Arial"/>
                                        <w:b/>
                                        <w:bCs/>
                                        <w:color w:val="000000"/>
                                        <w:spacing w:val="-8"/>
                                        <w:sz w:val="18"/>
                                        <w:szCs w:val="18"/>
                                      </w:rPr>
                                      <w:t xml:space="preserve"> will examine how Western Balkan states navigate these competing pressures while pursuing European integration. She will assess China's growing influence in the region, its implications for NATO and the European security architecture, and how the Balkans are evolving into a critical geopolitical pivot linking Europe, Eurasia and the Mediterranean. This discussion offers timely insights for policymakers, diplomats and security practitioners seeking to understand Europe's emerging strategic frontiers.</w:t>
                                    </w:r>
                                    <w:r>
                                      <w:rPr>
                                        <w:rFonts w:ascii="Helvetica Neue" w:hAnsi="Helvetica Neue" w:cs="Arial"/>
                                        <w:b/>
                                        <w:bCs/>
                                        <w:color w:val="000000"/>
                                        <w:spacing w:val="-8"/>
                                        <w:sz w:val="18"/>
                                        <w:szCs w:val="18"/>
                                      </w:rPr>
                                      <w:br/>
                                    </w:r>
                                    <w:r>
                                      <w:rPr>
                                        <w:rFonts w:ascii="Helvetica Neue" w:hAnsi="Helvetica Neue" w:cs="Arial"/>
                                        <w:b/>
                                        <w:bCs/>
                                        <w:color w:val="000000"/>
                                        <w:spacing w:val="-8"/>
                                        <w:sz w:val="18"/>
                                        <w:szCs w:val="18"/>
                                      </w:rPr>
                                      <w:br/>
                                      <w:t>For further information please email </w:t>
                                    </w:r>
                                    <w:r>
                                      <w:rPr>
                                        <w:rFonts w:ascii="Helvetica Neue" w:hAnsi="Helvetica Neue" w:cs="Arial"/>
                                        <w:b/>
                                        <w:bCs/>
                                        <w:color w:val="303030"/>
                                        <w:spacing w:val="-8"/>
                                        <w:sz w:val="18"/>
                                        <w:szCs w:val="18"/>
                                      </w:rPr>
                                      <w:br/>
                                    </w:r>
                                    <w:hyperlink r:id="rId36" w:tgtFrame="_blank" w:history="1">
                                      <w:r>
                                        <w:rPr>
                                          <w:rStyle w:val="Hyperlink"/>
                                          <w:rFonts w:ascii="Helvetica Neue" w:hAnsi="Helvetica Neue" w:cs="Arial"/>
                                          <w:color w:val="000000"/>
                                          <w:spacing w:val="-8"/>
                                          <w:sz w:val="18"/>
                                          <w:szCs w:val="18"/>
                                        </w:rPr>
                                        <w:t>nswexec@internationalaffairs.org.au.</w:t>
                                      </w:r>
                                    </w:hyperlink>
                                  </w:p>
                                </w:tc>
                              </w:tr>
                            </w:tbl>
                            <w:p w14:paraId="4AED5C05" w14:textId="77777777" w:rsidR="00AC0AEA" w:rsidRDefault="00AC0AEA">
                              <w:pPr>
                                <w:rPr>
                                  <w:rFonts w:ascii="Times New Roman" w:hAnsi="Times New Roman" w:cs="Times New Roman"/>
                                </w:rPr>
                              </w:pPr>
                            </w:p>
                          </w:tc>
                        </w:tr>
                      </w:tbl>
                      <w:p w14:paraId="272D25B1" w14:textId="77777777" w:rsidR="00AC0AEA" w:rsidRDefault="00AC0AEA">
                        <w:pPr>
                          <w:rPr>
                            <w:vanish/>
                          </w:rPr>
                        </w:pPr>
                      </w:p>
                      <w:tbl>
                        <w:tblPr>
                          <w:tblW w:w="5000" w:type="pct"/>
                          <w:tblCellMar>
                            <w:left w:w="0" w:type="dxa"/>
                            <w:right w:w="0" w:type="dxa"/>
                          </w:tblCellMar>
                          <w:tblLook w:val="04A0" w:firstRow="1" w:lastRow="0" w:firstColumn="1" w:lastColumn="0" w:noHBand="0" w:noVBand="1"/>
                        </w:tblPr>
                        <w:tblGrid>
                          <w:gridCol w:w="9020"/>
                        </w:tblGrid>
                        <w:tr w:rsidR="00AC0AEA" w14:paraId="6200238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C0AEA" w14:paraId="7E135568" w14:textId="77777777">
                                <w:tc>
                                  <w:tcPr>
                                    <w:tcW w:w="0" w:type="auto"/>
                                    <w:vAlign w:val="center"/>
                                    <w:hideMark/>
                                  </w:tcPr>
                                  <w:p w14:paraId="0A0BB45F" w14:textId="77777777" w:rsidR="00AC0AEA" w:rsidRDefault="00AC0AEA"/>
                                </w:tc>
                              </w:tr>
                            </w:tbl>
                            <w:p w14:paraId="46C08020" w14:textId="77777777" w:rsidR="00AC0AEA" w:rsidRDefault="00AC0AEA"/>
                          </w:tc>
                        </w:tr>
                      </w:tbl>
                      <w:p w14:paraId="3A5F5B44" w14:textId="77777777" w:rsidR="00AC0AEA" w:rsidRDefault="00AC0AEA"/>
                    </w:tc>
                  </w:tr>
                </w:tbl>
                <w:p w14:paraId="7CC7C9A6" w14:textId="77777777" w:rsidR="00AC0AEA" w:rsidRDefault="00AC0AEA">
                  <w:pPr>
                    <w:jc w:val="center"/>
                  </w:pPr>
                </w:p>
              </w:tc>
            </w:tr>
          </w:tbl>
          <w:p w14:paraId="06813CAF" w14:textId="77777777" w:rsidR="00AC0AEA" w:rsidRDefault="00AC0AEA">
            <w:pPr>
              <w:jc w:val="center"/>
              <w:rPr>
                <w:rFonts w:ascii="Times" w:hAnsi="Times"/>
                <w:color w:val="000000"/>
                <w:sz w:val="27"/>
                <w:szCs w:val="27"/>
              </w:rPr>
            </w:pPr>
          </w:p>
        </w:tc>
      </w:tr>
      <w:tr w:rsidR="00AC0AEA" w14:paraId="5496F3CB" w14:textId="77777777">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AC0AEA" w14:paraId="314B38B1"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AC0AEA" w14:paraId="18D1FB5D"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C0AEA" w14:paraId="28FAB5BA" w14:textId="77777777">
                          <w:tc>
                            <w:tcPr>
                              <w:tcW w:w="0" w:type="auto"/>
                              <w:hideMark/>
                            </w:tcPr>
                            <w:p w14:paraId="08B1D310" w14:textId="77777777" w:rsidR="00AC0AEA" w:rsidRDefault="00AC0AEA">
                              <w:pPr>
                                <w:jc w:val="center"/>
                                <w:rPr>
                                  <w:sz w:val="20"/>
                                  <w:szCs w:val="20"/>
                                </w:rPr>
                              </w:pPr>
                            </w:p>
                          </w:tc>
                        </w:tr>
                      </w:tbl>
                      <w:p w14:paraId="351A5ACA" w14:textId="77777777" w:rsidR="00AC0AEA" w:rsidRDefault="00AC0AE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C0AEA" w14:paraId="2D42A075" w14:textId="77777777">
                          <w:tc>
                            <w:tcPr>
                              <w:tcW w:w="0" w:type="auto"/>
                              <w:hideMark/>
                            </w:tcPr>
                            <w:p w14:paraId="4F19D664" w14:textId="77777777" w:rsidR="00AC0AEA" w:rsidRDefault="00AC0AEA">
                              <w:pPr>
                                <w:rPr>
                                  <w:sz w:val="20"/>
                                  <w:szCs w:val="20"/>
                                </w:rPr>
                              </w:pPr>
                            </w:p>
                          </w:tc>
                        </w:tr>
                      </w:tbl>
                      <w:p w14:paraId="70127215" w14:textId="77777777" w:rsidR="00AC0AEA" w:rsidRDefault="00AC0AE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C0AEA" w14:paraId="7C9019C4" w14:textId="77777777">
                          <w:tc>
                            <w:tcPr>
                              <w:tcW w:w="0" w:type="auto"/>
                              <w:hideMark/>
                            </w:tcPr>
                            <w:p w14:paraId="0EAF77B5" w14:textId="77777777" w:rsidR="00AC0AEA" w:rsidRDefault="00AC0AEA">
                              <w:pPr>
                                <w:rPr>
                                  <w:sz w:val="20"/>
                                  <w:szCs w:val="20"/>
                                </w:rPr>
                              </w:pPr>
                            </w:p>
                          </w:tc>
                        </w:tr>
                      </w:tbl>
                      <w:p w14:paraId="3F396B31" w14:textId="77777777" w:rsidR="00AC0AEA" w:rsidRDefault="00AC0AEA"/>
                    </w:tc>
                  </w:tr>
                </w:tbl>
                <w:p w14:paraId="4AA4D9FA" w14:textId="77777777" w:rsidR="00AC0AEA" w:rsidRDefault="00AC0AEA">
                  <w:pPr>
                    <w:jc w:val="center"/>
                  </w:pPr>
                </w:p>
              </w:tc>
            </w:tr>
          </w:tbl>
          <w:p w14:paraId="2DCAB538" w14:textId="77777777" w:rsidR="00AC0AEA" w:rsidRDefault="00AC0AEA">
            <w:pPr>
              <w:jc w:val="center"/>
              <w:rPr>
                <w:rFonts w:ascii="Times" w:hAnsi="Times"/>
                <w:color w:val="000000"/>
                <w:sz w:val="27"/>
                <w:szCs w:val="27"/>
              </w:rPr>
            </w:pPr>
          </w:p>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37195"/>
    <w:multiLevelType w:val="multilevel"/>
    <w:tmpl w:val="4E1A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5E0FA3"/>
    <w:multiLevelType w:val="multilevel"/>
    <w:tmpl w:val="1D5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5102DA"/>
    <w:multiLevelType w:val="multilevel"/>
    <w:tmpl w:val="098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B277BF"/>
    <w:multiLevelType w:val="multilevel"/>
    <w:tmpl w:val="54D4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1"/>
  </w:num>
  <w:num w:numId="2" w16cid:durableId="1756855691">
    <w:abstractNumId w:val="14"/>
  </w:num>
  <w:num w:numId="3" w16cid:durableId="622732817">
    <w:abstractNumId w:val="2"/>
  </w:num>
  <w:num w:numId="4" w16cid:durableId="2104300094">
    <w:abstractNumId w:val="24"/>
  </w:num>
  <w:num w:numId="5" w16cid:durableId="329336772">
    <w:abstractNumId w:val="25"/>
  </w:num>
  <w:num w:numId="6" w16cid:durableId="789519154">
    <w:abstractNumId w:val="22"/>
  </w:num>
  <w:num w:numId="7" w16cid:durableId="318460018">
    <w:abstractNumId w:val="12"/>
  </w:num>
  <w:num w:numId="8" w16cid:durableId="188183867">
    <w:abstractNumId w:val="18"/>
  </w:num>
  <w:num w:numId="9" w16cid:durableId="365450568">
    <w:abstractNumId w:val="0"/>
  </w:num>
  <w:num w:numId="10" w16cid:durableId="885918749">
    <w:abstractNumId w:val="6"/>
  </w:num>
  <w:num w:numId="11" w16cid:durableId="380322530">
    <w:abstractNumId w:val="7"/>
  </w:num>
  <w:num w:numId="12" w16cid:durableId="1289093622">
    <w:abstractNumId w:val="8"/>
  </w:num>
  <w:num w:numId="13" w16cid:durableId="1948346188">
    <w:abstractNumId w:val="17"/>
  </w:num>
  <w:num w:numId="14" w16cid:durableId="1134712774">
    <w:abstractNumId w:val="1"/>
  </w:num>
  <w:num w:numId="15" w16cid:durableId="96561637">
    <w:abstractNumId w:val="23"/>
  </w:num>
  <w:num w:numId="16" w16cid:durableId="55327539">
    <w:abstractNumId w:val="3"/>
  </w:num>
  <w:num w:numId="17" w16cid:durableId="1082265465">
    <w:abstractNumId w:val="4"/>
  </w:num>
  <w:num w:numId="18" w16cid:durableId="349526869">
    <w:abstractNumId w:val="5"/>
  </w:num>
  <w:num w:numId="19" w16cid:durableId="87237513">
    <w:abstractNumId w:val="10"/>
  </w:num>
  <w:num w:numId="20" w16cid:durableId="1901475487">
    <w:abstractNumId w:val="16"/>
  </w:num>
  <w:num w:numId="21" w16cid:durableId="1652904533">
    <w:abstractNumId w:val="19"/>
  </w:num>
  <w:num w:numId="22" w16cid:durableId="1303927555">
    <w:abstractNumId w:val="13"/>
  </w:num>
  <w:num w:numId="23" w16cid:durableId="441267867">
    <w:abstractNumId w:val="15"/>
  </w:num>
  <w:num w:numId="24" w16cid:durableId="1303804196">
    <w:abstractNumId w:val="20"/>
  </w:num>
  <w:num w:numId="25" w16cid:durableId="1863202131">
    <w:abstractNumId w:val="9"/>
  </w:num>
  <w:num w:numId="26" w16cid:durableId="2962229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67C26"/>
    <w:rsid w:val="001E338B"/>
    <w:rsid w:val="00312DFD"/>
    <w:rsid w:val="005B37F6"/>
    <w:rsid w:val="005B6C0D"/>
    <w:rsid w:val="005C287B"/>
    <w:rsid w:val="006B5111"/>
    <w:rsid w:val="0070420A"/>
    <w:rsid w:val="007D5B2C"/>
    <w:rsid w:val="008337D5"/>
    <w:rsid w:val="00847317"/>
    <w:rsid w:val="0085190D"/>
    <w:rsid w:val="008E4AF3"/>
    <w:rsid w:val="009037DD"/>
    <w:rsid w:val="00926695"/>
    <w:rsid w:val="0098151C"/>
    <w:rsid w:val="009E7521"/>
    <w:rsid w:val="009F1004"/>
    <w:rsid w:val="00AB4F15"/>
    <w:rsid w:val="00AC0AEA"/>
    <w:rsid w:val="00B04A33"/>
    <w:rsid w:val="00C82C63"/>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B4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4F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customStyle="1" w:styleId="Heading2Char">
    <w:name w:val="Heading 2 Char"/>
    <w:basedOn w:val="DefaultParagraphFont"/>
    <w:link w:val="Heading2"/>
    <w:uiPriority w:val="9"/>
    <w:semiHidden/>
    <w:rsid w:val="00AB4F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4F1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 w:id="2139495941">
      <w:bodyDiv w:val="1"/>
      <w:marLeft w:val="0"/>
      <w:marRight w:val="0"/>
      <w:marTop w:val="0"/>
      <w:marBottom w:val="0"/>
      <w:divBdr>
        <w:top w:val="none" w:sz="0" w:space="0" w:color="auto"/>
        <w:left w:val="none" w:sz="0" w:space="0" w:color="auto"/>
        <w:bottom w:val="none" w:sz="0" w:space="0" w:color="auto"/>
        <w:right w:val="none" w:sz="0" w:space="0" w:color="auto"/>
      </w:divBdr>
      <w:divsChild>
        <w:div w:id="454563950">
          <w:marLeft w:val="0"/>
          <w:marRight w:val="0"/>
          <w:marTop w:val="0"/>
          <w:marBottom w:val="0"/>
          <w:divBdr>
            <w:top w:val="none" w:sz="0" w:space="0" w:color="auto"/>
            <w:left w:val="none" w:sz="0" w:space="0" w:color="auto"/>
            <w:bottom w:val="none" w:sz="0" w:space="0" w:color="auto"/>
            <w:right w:val="none" w:sz="0" w:space="0" w:color="auto"/>
          </w:divBdr>
          <w:divsChild>
            <w:div w:id="880940097">
              <w:marLeft w:val="0"/>
              <w:marRight w:val="0"/>
              <w:marTop w:val="0"/>
              <w:marBottom w:val="0"/>
              <w:divBdr>
                <w:top w:val="none" w:sz="0" w:space="0" w:color="auto"/>
                <w:left w:val="none" w:sz="0" w:space="0" w:color="auto"/>
                <w:bottom w:val="none" w:sz="0" w:space="0" w:color="auto"/>
                <w:right w:val="none" w:sz="0" w:space="0" w:color="auto"/>
              </w:divBdr>
              <w:divsChild>
                <w:div w:id="1468430689">
                  <w:marLeft w:val="0"/>
                  <w:marRight w:val="0"/>
                  <w:marTop w:val="0"/>
                  <w:marBottom w:val="0"/>
                  <w:divBdr>
                    <w:top w:val="none" w:sz="0" w:space="0" w:color="auto"/>
                    <w:left w:val="none" w:sz="0" w:space="0" w:color="auto"/>
                    <w:bottom w:val="none" w:sz="0" w:space="0" w:color="auto"/>
                    <w:right w:val="none" w:sz="0" w:space="0" w:color="auto"/>
                  </w:divBdr>
                  <w:divsChild>
                    <w:div w:id="1583299158">
                      <w:marLeft w:val="0"/>
                      <w:marRight w:val="0"/>
                      <w:marTop w:val="0"/>
                      <w:marBottom w:val="0"/>
                      <w:divBdr>
                        <w:top w:val="none" w:sz="0" w:space="0" w:color="auto"/>
                        <w:left w:val="none" w:sz="0" w:space="0" w:color="auto"/>
                        <w:bottom w:val="none" w:sz="0" w:space="0" w:color="auto"/>
                        <w:right w:val="none" w:sz="0" w:space="0" w:color="auto"/>
                      </w:divBdr>
                    </w:div>
                    <w:div w:id="2141409837">
                      <w:marLeft w:val="0"/>
                      <w:marRight w:val="0"/>
                      <w:marTop w:val="0"/>
                      <w:marBottom w:val="0"/>
                      <w:divBdr>
                        <w:top w:val="none" w:sz="0" w:space="0" w:color="auto"/>
                        <w:left w:val="none" w:sz="0" w:space="0" w:color="auto"/>
                        <w:bottom w:val="none" w:sz="0" w:space="0" w:color="auto"/>
                        <w:right w:val="none" w:sz="0" w:space="0" w:color="auto"/>
                      </w:divBdr>
                    </w:div>
                    <w:div w:id="10000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20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re.google/mnes95EmVCTwq5ABl" TargetMode="External"/><Relationship Id="rId18" Type="http://schemas.openxmlformats.org/officeDocument/2006/relationships/hyperlink" Target="https://theconversation.com/one-nation-has-been-on-the-fringes-of-australian-politics-for-30-years-why-is-its-popularity-soaring-now-276763" TargetMode="External"/><Relationship Id="rId26" Type="http://schemas.openxmlformats.org/officeDocument/2006/relationships/hyperlink" Target="https://www.theguardian.com/us-news/2026/mar/01/pregnant-immigrant-children-texas-abortion" TargetMode="External"/><Relationship Id="rId21" Type="http://schemas.openxmlformats.org/officeDocument/2006/relationships/hyperlink" Target="https://www.cfr.org/articles/the-new-era-of-drone-warfare-takes-root-in-iran" TargetMode="External"/><Relationship Id="rId34" Type="http://schemas.openxmlformats.org/officeDocument/2006/relationships/hyperlink" Target="https://theconversation.com/prosecco-makers-lose-out-as-australia-seals-eu-free-trade-deal-after-8-long-years-of-talks-278877?utm_medium=email&amp;utm_campaign=Latest%20from%20The%20Conversation%20for%20March%2025%202026%20-%203715537998&amp;utm_content=Latest%20f" TargetMode="External"/><Relationship Id="rId7" Type="http://schemas.openxmlformats.org/officeDocument/2006/relationships/image" Target="media/image3.jpeg"/><Relationship Id="rId12" Type="http://schemas.openxmlformats.org/officeDocument/2006/relationships/hyperlink" Target="https://share.google/mnes95EmVCTwq5ABl" TargetMode="External"/><Relationship Id="rId17" Type="http://schemas.openxmlformats.org/officeDocument/2006/relationships/hyperlink" Target="https://theconversation.com/one-nation-has-been-on-the-fringes-of-australian-politics-for-30-years-why-is-its-popularity-soaring-now-276763" TargetMode="External"/><Relationship Id="rId25" Type="http://schemas.openxmlformats.org/officeDocument/2006/relationships/hyperlink" Target="https://www.theguardian.com/us-news/2026/mar/01/pregnant-immigrant-children-texas-abortion" TargetMode="External"/><Relationship Id="rId33" Type="http://schemas.openxmlformats.org/officeDocument/2006/relationships/hyperlink" Target="https://iview.abc.net.au/show/foreign-correspondent/series/2026/video/NC2604H004S0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netflix.com/au/title/81920687"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johnmenadue.com/post/2026/03/as-israel-invades-again-lebanon-faces-more-turmoil-and-possible-civil-war/?utm_source=Pearls+%26+Irritations&amp;utm_campaign=d687323691-Daily&amp;utm_medium=email&amp;utm_term=0_0c6b037ecb-d687323691-583174551"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lowyinstitute.org/publications/future-indonesia-s-green-industrial-policy" TargetMode="External"/><Relationship Id="rId23" Type="http://schemas.openxmlformats.org/officeDocument/2006/relationships/hyperlink" Target="https://commons.wikimedia.org/wiki/File:Shahed_drones_recovered_from_Iraq_and_Ukraine.jpg" TargetMode="External"/><Relationship Id="rId28" Type="http://schemas.openxmlformats.org/officeDocument/2006/relationships/hyperlink" Target="https://www.flickr.com/photos/thomashawk/52635697962/in/photolist-2oceHcQ-2rCEg1f-2okvVXF-2o1fJpz-2oMK6uh-2rEZSGM-QtxTQP-2kJC5Hq-2nL7Q2H-2mFFwY3-2kYHjpQ-2jbM36Y-2iQWR46-2mWH2HE-5UuDsd-2k5Uah9-2oxJLkw-2oM99J8-2kxFQaQ-2ktMQ48-2kRqFEx-2jt7SRj-2jQtKQG-2hF5wXv-2k2H8LJ-2n4wowt-2j4PJAJ-2mq2Lxy-2jT1urT-Ct7DXP-2ob1bA1-2msohqb-2kD2SwV-2jKWzUM-2kQaWdt-2mFUm5c-2jjWGRN-SkeSmg-7YWqGW-2mBUAa1-2onweMM-2inYjtY-2iSNCkW-2mAqK5h-2kCS3R7-2mFYxvz-QBc16Q-2kDC1yZ-2k5MMXY-2itUsVL" TargetMode="External"/><Relationship Id="rId36" Type="http://schemas.openxmlformats.org/officeDocument/2006/relationships/hyperlink" Target="http://nswexec@internationalaffairs.org.au/" TargetMode="External"/><Relationship Id="rId10" Type="http://schemas.openxmlformats.org/officeDocument/2006/relationships/hyperlink" Target="https://commons.wikimedia.org/wiki/Category:Embassy_of_the_United_States_in_Tehran" TargetMode="External"/><Relationship Id="rId19" Type="http://schemas.openxmlformats.org/officeDocument/2006/relationships/hyperlink" Target="http://https/commons.wikimedia.org/wiki/File:https:/commons.wikimedia.org/wiki/File:Shahed_drones_recovered_from_Iraq_and_Ukraine.jpg.jpg" TargetMode="External"/><Relationship Id="rId31" Type="http://schemas.openxmlformats.org/officeDocument/2006/relationships/hyperlink" Target="https://www.youtube.com/watch?v=xcXfcXJvMXg" TargetMode="External"/><Relationship Id="rId4" Type="http://schemas.openxmlformats.org/officeDocument/2006/relationships/webSettings" Target="webSettings.xml"/><Relationship Id="rId9" Type="http://schemas.openxmlformats.org/officeDocument/2006/relationships/hyperlink" Target="https://theconversation.com/overconfidence-is-how-wars-are-lost-lessons-from-vietnam-afghanistan-and-ukraine-for-the-war-in-iran-were-ignored-278604" TargetMode="External"/><Relationship Id="rId14" Type="http://schemas.openxmlformats.org/officeDocument/2006/relationships/hyperlink" Target="https://www.flickr.com/photos/brraveheart/24488374064/in/photolist-DiXjrW-WL7Z8S-PBqjd-5xvBCK-Jzr2ya-9K6mAS-5DwGrU-qFzX1-5Hn6x1-YgvaJW-Y3uwUu-4jjJr6-9JApz3-b9XaHT-2oxGoDu-2U5Uq9-tX2MS6-7LgcNA-pqzs-5sHx97-55mod-87HNGL-6fz8-CZCZE-2qMq1u5-2hh1m9v-KmyqDd-2nmTi17-28zFqif-7nYowx-6UUMqg-3jy3uh-28AfiWQ-2ku4G9j-2j7Exi9-6XdPnJ-4zzejD-Q474bL-2iRf5x7-2ixr8fU-2oovDvB-B6141Z-K12jDG-FQ27HG-4VqwcV-2qB22rf-7RJhoF-7RMwCE-6A5aCc-9EEnqK" TargetMode="External"/><Relationship Id="rId22" Type="http://schemas.openxmlformats.org/officeDocument/2006/relationships/hyperlink" Target="https://www.cfr.org/articles/the-new-era-of-drone-warfare-takes-root-in-iran" TargetMode="External"/><Relationship Id="rId27" Type="http://schemas.openxmlformats.org/officeDocument/2006/relationships/hyperlink" Target="https://www.theguardian.com/us-news/2026/mar/01/pregnant-immigrant-children-texas-abortion" TargetMode="External"/><Relationship Id="rId30" Type="http://schemas.openxmlformats.org/officeDocument/2006/relationships/hyperlink" Target="https://kettering.org/the-myth-of-youth-apathy/" TargetMode="External"/><Relationship Id="rId35" Type="http://schemas.openxmlformats.org/officeDocument/2006/relationships/hyperlink" Target="https://aiiansw.glueup.com/event/europe-s-unfinished-frontier-the-western-balkans-between-brussels-beijing-and-moscow-175065/" TargetMode="External"/><Relationship Id="rId8" Type="http://schemas.openxmlformats.org/officeDocument/2006/relationships/hyperlink" Target="https://theconversation.com/overconfidence-is-how-wars-are-lost-lessons-from-vietnam-afghanistan-and-ukraine-for-the-war-in-iran-were-ignored-27860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Malindi Sayle</cp:lastModifiedBy>
  <cp:revision>2</cp:revision>
  <dcterms:created xsi:type="dcterms:W3CDTF">2026-04-06T02:32:00Z</dcterms:created>
  <dcterms:modified xsi:type="dcterms:W3CDTF">2026-04-06T02:32:00Z</dcterms:modified>
</cp:coreProperties>
</file>