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5F5F5"/>
        <w:tblCellMar>
          <w:left w:w="0" w:type="dxa"/>
          <w:right w:w="0" w:type="dxa"/>
        </w:tblCellMar>
        <w:tblLook w:val="04A0" w:firstRow="1" w:lastRow="0" w:firstColumn="1" w:lastColumn="0" w:noHBand="0" w:noVBand="1"/>
      </w:tblPr>
      <w:tblGrid>
        <w:gridCol w:w="9004"/>
      </w:tblGrid>
      <w:tr w:rsidR="00DF1E3F" w14:paraId="49C88E2F" w14:textId="77777777">
        <w:tc>
          <w:tcPr>
            <w:tcW w:w="0" w:type="auto"/>
            <w:tcBorders>
              <w:top w:val="single" w:sz="6" w:space="0" w:color="E6E6E6"/>
              <w:left w:val="single" w:sz="6" w:space="0" w:color="E6E6E6"/>
              <w:bottom w:val="single" w:sz="6" w:space="0" w:color="E6E6E6"/>
              <w:right w:val="single" w:sz="6" w:space="0" w:color="E6E6E6"/>
            </w:tcBorders>
            <w:shd w:val="clear" w:color="auto" w:fill="F5F5F5"/>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973"/>
            </w:tblGrid>
            <w:tr w:rsidR="00DF1E3F" w14:paraId="39F9AC55"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87"/>
                  </w:tblGrid>
                  <w:tr w:rsidR="00DF1E3F" w14:paraId="3298B4CE"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p w14:paraId="59873212" w14:textId="17FFE15E" w:rsidR="00DF1E3F" w:rsidRDefault="00DF1E3F">
                        <w:pPr>
                          <w:jc w:val="center"/>
                        </w:pPr>
                        <w:r>
                          <w:fldChar w:fldCharType="begin"/>
                        </w:r>
                        <w:r>
                          <w:instrText xml:space="preserve"> INCLUDEPICTURE "https://mcusercontent.com/0e9feb1606f1b4129a8b65828/images/df728e7c-0215-4c48-95f7-e2a83a7ad7e8.png" \* MERGEFORMATINET </w:instrText>
                        </w:r>
                        <w:r>
                          <w:fldChar w:fldCharType="separate"/>
                        </w:r>
                        <w:r>
                          <w:rPr>
                            <w:noProof/>
                          </w:rPr>
                          <w:drawing>
                            <wp:inline distT="0" distB="0" distL="0" distR="0" wp14:anchorId="29ACD647" wp14:editId="1C152BCC">
                              <wp:extent cx="5727700" cy="1264285"/>
                              <wp:effectExtent l="0" t="0" r="0" b="5715"/>
                              <wp:docPr id="19833818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1264285"/>
                                      </a:xfrm>
                                      <a:prstGeom prst="rect">
                                        <a:avLst/>
                                      </a:prstGeom>
                                      <a:noFill/>
                                      <a:ln>
                                        <a:noFill/>
                                      </a:ln>
                                    </pic:spPr>
                                  </pic:pic>
                                </a:graphicData>
                              </a:graphic>
                            </wp:inline>
                          </w:drawing>
                        </w:r>
                        <w:r>
                          <w:fldChar w:fldCharType="end"/>
                        </w:r>
                      </w:p>
                    </w:tc>
                  </w:tr>
                </w:tbl>
                <w:p w14:paraId="275D1BA1" w14:textId="77777777" w:rsidR="00DF1E3F" w:rsidRDefault="00DF1E3F"/>
              </w:tc>
            </w:tr>
          </w:tbl>
          <w:p w14:paraId="3A54FF3D"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31F5E2FB"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01368BC6"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69D09023" w14:textId="77777777" w:rsidR="00DF1E3F" w:rsidRDefault="00DF1E3F">
                        <w:pPr>
                          <w:spacing w:line="360" w:lineRule="atLeast"/>
                          <w:jc w:val="center"/>
                          <w:rPr>
                            <w:rFonts w:ascii="Verdana" w:hAnsi="Verdana"/>
                            <w:color w:val="4C6AA2"/>
                          </w:rPr>
                        </w:pPr>
                        <w:r>
                          <w:rPr>
                            <w:rFonts w:ascii="Helvetica Neue" w:hAnsi="Helvetica Neue"/>
                            <w:color w:val="4C6AA2"/>
                          </w:rPr>
                          <w:t>The Australian Institute of International Affairs New South Wales welcomes you to issue 114 of:</w:t>
                        </w:r>
                      </w:p>
                    </w:tc>
                  </w:tr>
                </w:tbl>
                <w:p w14:paraId="249CE47A" w14:textId="77777777" w:rsidR="00DF1E3F" w:rsidRDefault="00DF1E3F">
                  <w:pPr>
                    <w:rPr>
                      <w:rFonts w:ascii="Times New Roman" w:hAnsi="Times New Roman"/>
                    </w:rPr>
                  </w:pPr>
                </w:p>
              </w:tc>
            </w:tr>
          </w:tbl>
          <w:p w14:paraId="4111812D"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42066500" w14:textId="77777777">
              <w:tc>
                <w:tcPr>
                  <w:tcW w:w="0" w:type="auto"/>
                  <w:tcBorders>
                    <w:top w:val="single" w:sz="6" w:space="0" w:color="E6E6E6"/>
                    <w:left w:val="single" w:sz="6" w:space="0" w:color="E6E6E6"/>
                    <w:bottom w:val="single" w:sz="6" w:space="0" w:color="E6E6E6"/>
                    <w:right w:val="single" w:sz="6" w:space="0" w:color="E6E6E6"/>
                  </w:tcBorders>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1AFE5CC0" w14:textId="77777777">
                    <w:tc>
                      <w:tcPr>
                        <w:tcW w:w="0" w:type="auto"/>
                        <w:tcBorders>
                          <w:top w:val="single" w:sz="6" w:space="0" w:color="E6E6E6"/>
                          <w:left w:val="single" w:sz="6" w:space="0" w:color="E6E6E6"/>
                          <w:bottom w:val="single" w:sz="6" w:space="0" w:color="E6E6E6"/>
                          <w:right w:val="single" w:sz="6" w:space="0" w:color="E6E6E6"/>
                        </w:tcBorders>
                        <w:hideMark/>
                      </w:tcPr>
                      <w:p w14:paraId="57957034" w14:textId="4756E1C7" w:rsidR="00DF1E3F" w:rsidRDefault="00DF1E3F">
                        <w:pPr>
                          <w:jc w:val="center"/>
                          <w:rPr>
                            <w:rFonts w:ascii="Times New Roman" w:hAnsi="Times New Roman"/>
                          </w:rPr>
                        </w:pPr>
                        <w:r>
                          <w:fldChar w:fldCharType="begin"/>
                        </w:r>
                        <w:r>
                          <w:instrText xml:space="preserve"> INCLUDEPICTURE "https://mcusercontent.com/0e9feb1606f1b4129a8b65828/images/25e5ae42-288e-0014-e802-72be3a6a90d0.png" \* MERGEFORMATINET </w:instrText>
                        </w:r>
                        <w:r>
                          <w:fldChar w:fldCharType="separate"/>
                        </w:r>
                        <w:r>
                          <w:rPr>
                            <w:noProof/>
                          </w:rPr>
                          <w:drawing>
                            <wp:inline distT="0" distB="0" distL="0" distR="0" wp14:anchorId="66A53A22" wp14:editId="1716235A">
                              <wp:extent cx="5727700" cy="3201670"/>
                              <wp:effectExtent l="0" t="0" r="0" b="0"/>
                              <wp:docPr id="18815554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3201670"/>
                                      </a:xfrm>
                                      <a:prstGeom prst="rect">
                                        <a:avLst/>
                                      </a:prstGeom>
                                      <a:noFill/>
                                      <a:ln>
                                        <a:noFill/>
                                      </a:ln>
                                    </pic:spPr>
                                  </pic:pic>
                                </a:graphicData>
                              </a:graphic>
                            </wp:inline>
                          </w:drawing>
                        </w:r>
                        <w:r>
                          <w:fldChar w:fldCharType="end"/>
                        </w:r>
                      </w:p>
                    </w:tc>
                  </w:tr>
                </w:tbl>
                <w:p w14:paraId="2B38EDC5" w14:textId="77777777" w:rsidR="00DF1E3F" w:rsidRDefault="00DF1E3F"/>
              </w:tc>
            </w:tr>
          </w:tbl>
          <w:p w14:paraId="0A5D80F4"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3D001C85" w14:textId="77777777">
              <w:tc>
                <w:tcPr>
                  <w:tcW w:w="0" w:type="auto"/>
                  <w:tcBorders>
                    <w:top w:val="single" w:sz="6" w:space="0" w:color="E6E6E6"/>
                    <w:left w:val="single" w:sz="6" w:space="0" w:color="E6E6E6"/>
                    <w:bottom w:val="single" w:sz="6" w:space="0" w:color="E6E6E6"/>
                    <w:right w:val="single" w:sz="6" w:space="0" w:color="E6E6E6"/>
                  </w:tcBorders>
                  <w:tcMar>
                    <w:top w:w="150" w:type="dxa"/>
                    <w:left w:w="270" w:type="dxa"/>
                    <w:bottom w:w="150" w:type="dxa"/>
                    <w:right w:w="270" w:type="dxa"/>
                  </w:tcMar>
                  <w:vAlign w:val="center"/>
                  <w:hideMark/>
                </w:tcPr>
                <w:tbl>
                  <w:tblPr>
                    <w:tblW w:w="5000" w:type="pct"/>
                    <w:tblBorders>
                      <w:top w:val="single" w:sz="24" w:space="0" w:color="4B6AA2"/>
                    </w:tblBorders>
                    <w:tblCellMar>
                      <w:left w:w="0" w:type="dxa"/>
                      <w:right w:w="0" w:type="dxa"/>
                    </w:tblCellMar>
                    <w:tblLook w:val="04A0" w:firstRow="1" w:lastRow="0" w:firstColumn="1" w:lastColumn="0" w:noHBand="0" w:noVBand="1"/>
                  </w:tblPr>
                  <w:tblGrid>
                    <w:gridCol w:w="8417"/>
                  </w:tblGrid>
                  <w:tr w:rsidR="00DF1E3F" w14:paraId="75E1B11D"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4028BCD9" w14:textId="77777777" w:rsidR="00DF1E3F" w:rsidRDefault="00DF1E3F">
                        <w:pPr>
                          <w:rPr>
                            <w:rFonts w:ascii="Times" w:hAnsi="Times"/>
                            <w:color w:val="000000"/>
                            <w:sz w:val="27"/>
                            <w:szCs w:val="27"/>
                          </w:rPr>
                        </w:pPr>
                      </w:p>
                    </w:tc>
                  </w:tr>
                </w:tbl>
                <w:p w14:paraId="6E548F08" w14:textId="77777777" w:rsidR="00DF1E3F" w:rsidRDefault="00DF1E3F"/>
              </w:tc>
            </w:tr>
          </w:tbl>
          <w:p w14:paraId="4852E279"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3F43BB3" w14:textId="77777777">
              <w:tc>
                <w:tcPr>
                  <w:tcW w:w="0" w:type="auto"/>
                  <w:tcBorders>
                    <w:top w:val="single" w:sz="6" w:space="0" w:color="E6E6E6"/>
                    <w:left w:val="single" w:sz="6" w:space="0" w:color="E6E6E6"/>
                    <w:bottom w:val="single" w:sz="6" w:space="0" w:color="E6E6E6"/>
                    <w:right w:val="single" w:sz="6" w:space="0" w:color="E6E6E6"/>
                  </w:tcBorders>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49033045" w14:textId="77777777">
                    <w:tc>
                      <w:tcPr>
                        <w:tcW w:w="0" w:type="auto"/>
                        <w:tcBorders>
                          <w:top w:val="single" w:sz="6" w:space="0" w:color="E6E6E6"/>
                          <w:left w:val="single" w:sz="6" w:space="0" w:color="E6E6E6"/>
                          <w:bottom w:val="single" w:sz="6" w:space="0" w:color="E6E6E6"/>
                          <w:right w:val="single" w:sz="6" w:space="0" w:color="E6E6E6"/>
                        </w:tcBorders>
                        <w:tcMar>
                          <w:top w:w="135" w:type="dxa"/>
                          <w:left w:w="270" w:type="dxa"/>
                          <w:bottom w:w="135" w:type="dxa"/>
                          <w:right w:w="270" w:type="dxa"/>
                        </w:tcMar>
                        <w:vAlign w:val="center"/>
                        <w:hideMark/>
                      </w:tcPr>
                      <w:tbl>
                        <w:tblPr>
                          <w:tblW w:w="5000" w:type="pct"/>
                          <w:shd w:val="clear" w:color="auto" w:fill="4B6AA2"/>
                          <w:tblCellMar>
                            <w:top w:w="15" w:type="dxa"/>
                            <w:left w:w="15" w:type="dxa"/>
                            <w:bottom w:w="15" w:type="dxa"/>
                            <w:right w:w="15" w:type="dxa"/>
                          </w:tblCellMar>
                          <w:tblLook w:val="04A0" w:firstRow="1" w:lastRow="0" w:firstColumn="1" w:lastColumn="0" w:noHBand="0" w:noVBand="1"/>
                        </w:tblPr>
                        <w:tblGrid>
                          <w:gridCol w:w="8386"/>
                        </w:tblGrid>
                        <w:tr w:rsidR="00DF1E3F" w14:paraId="26262A16" w14:textId="77777777">
                          <w:tc>
                            <w:tcPr>
                              <w:tcW w:w="0" w:type="auto"/>
                              <w:tcBorders>
                                <w:top w:val="single" w:sz="6" w:space="0" w:color="E6E6E6"/>
                                <w:left w:val="single" w:sz="6" w:space="0" w:color="E6E6E6"/>
                                <w:bottom w:val="single" w:sz="6" w:space="0" w:color="E6E6E6"/>
                                <w:right w:val="single" w:sz="6" w:space="0" w:color="E6E6E6"/>
                              </w:tcBorders>
                              <w:shd w:val="clear" w:color="auto" w:fill="4B6AA2"/>
                              <w:tcMar>
                                <w:top w:w="270" w:type="dxa"/>
                                <w:left w:w="270" w:type="dxa"/>
                                <w:bottom w:w="270" w:type="dxa"/>
                                <w:right w:w="270" w:type="dxa"/>
                              </w:tcMar>
                              <w:hideMark/>
                            </w:tcPr>
                            <w:p w14:paraId="2EC712BA" w14:textId="77777777" w:rsidR="00DF1E3F" w:rsidRDefault="00DF1E3F">
                              <w:pPr>
                                <w:spacing w:line="315" w:lineRule="atLeast"/>
                                <w:jc w:val="center"/>
                                <w:rPr>
                                  <w:rFonts w:ascii="Helvetica" w:hAnsi="Helvetica"/>
                                  <w:color w:val="F2F2F2"/>
                                  <w:sz w:val="21"/>
                                  <w:szCs w:val="21"/>
                                </w:rPr>
                              </w:pPr>
                              <w:r>
                                <w:rPr>
                                  <w:rStyle w:val="Strong"/>
                                  <w:rFonts w:ascii="Helvetica" w:hAnsi="Helvetica"/>
                                  <w:color w:val="F2F2F2"/>
                                  <w:sz w:val="36"/>
                                  <w:szCs w:val="36"/>
                                </w:rPr>
                                <w:t>From the Councillors</w:t>
                              </w:r>
                            </w:p>
                          </w:tc>
                        </w:tr>
                      </w:tbl>
                      <w:p w14:paraId="21295088" w14:textId="77777777" w:rsidR="00DF1E3F" w:rsidRDefault="00DF1E3F">
                        <w:pPr>
                          <w:rPr>
                            <w:rFonts w:ascii="Times New Roman" w:hAnsi="Times New Roman"/>
                          </w:rPr>
                        </w:pPr>
                      </w:p>
                    </w:tc>
                  </w:tr>
                </w:tbl>
                <w:p w14:paraId="1A5FB01E" w14:textId="77777777" w:rsidR="00DF1E3F" w:rsidRDefault="00DF1E3F"/>
              </w:tc>
            </w:tr>
          </w:tbl>
          <w:p w14:paraId="2BA322D6"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27DE17D4"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30D559CB"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2C7C394B" w14:textId="77777777" w:rsidR="00DF1E3F" w:rsidRDefault="00DF1E3F">
                        <w:pPr>
                          <w:spacing w:line="360" w:lineRule="atLeast"/>
                          <w:jc w:val="both"/>
                          <w:rPr>
                            <w:rFonts w:ascii="Verdana" w:hAnsi="Verdana"/>
                            <w:color w:val="222222"/>
                          </w:rPr>
                        </w:pPr>
                        <w:r>
                          <w:rPr>
                            <w:rFonts w:ascii="Helvetica Neue" w:hAnsi="Helvetica Neue"/>
                            <w:color w:val="222222"/>
                            <w:sz w:val="18"/>
                            <w:szCs w:val="18"/>
                          </w:rPr>
                          <w:t>​​Twice a month, some of our Councillors and interns share a selection of articles, analytical pieces, videos, and podcasts about what is happening in international affairs. This week, Jocelyn Chey discusses the progress made in the AUKUS Public Inquiry and Ian Lincoln reflects on the Russia-Ukraine war, five years in.</w:t>
                        </w:r>
                      </w:p>
                      <w:p w14:paraId="34AECC03" w14:textId="77777777" w:rsidR="00DF1E3F" w:rsidRDefault="00DF1E3F">
                        <w:pPr>
                          <w:spacing w:line="360" w:lineRule="atLeast"/>
                          <w:rPr>
                            <w:rFonts w:ascii="Verdana" w:hAnsi="Verdana"/>
                            <w:color w:val="222222"/>
                          </w:rPr>
                        </w:pPr>
                        <w:r>
                          <w:rPr>
                            <w:rStyle w:val="Emphasis"/>
                            <w:rFonts w:ascii="Helvetica Neue" w:hAnsi="Helvetica Neue"/>
                            <w:color w:val="222222"/>
                            <w:sz w:val="18"/>
                            <w:szCs w:val="18"/>
                          </w:rPr>
                          <w:t>Disclaimer: The views expressed below by councillors and interns are their own. The Australian Institute of International Affairs New South Wales does not take policy positions.</w:t>
                        </w:r>
                      </w:p>
                    </w:tc>
                  </w:tr>
                </w:tbl>
                <w:p w14:paraId="03E29E43" w14:textId="77777777" w:rsidR="00DF1E3F" w:rsidRDefault="00DF1E3F">
                  <w:pPr>
                    <w:rPr>
                      <w:rFonts w:ascii="Times New Roman" w:hAnsi="Times New Roman"/>
                    </w:rPr>
                  </w:pPr>
                </w:p>
              </w:tc>
            </w:tr>
          </w:tbl>
          <w:p w14:paraId="0E44EF4B"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1174C88A"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6B10163D"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059CCA78" w14:textId="77777777" w:rsidR="00DF1E3F" w:rsidRDefault="00DF1E3F">
                        <w:pPr>
                          <w:rPr>
                            <w:rFonts w:ascii="Times" w:hAnsi="Times"/>
                            <w:color w:val="000000"/>
                            <w:sz w:val="27"/>
                            <w:szCs w:val="27"/>
                          </w:rPr>
                        </w:pPr>
                      </w:p>
                    </w:tc>
                  </w:tr>
                </w:tbl>
                <w:p w14:paraId="63320849" w14:textId="77777777" w:rsidR="00DF1E3F" w:rsidRDefault="00DF1E3F"/>
              </w:tc>
            </w:tr>
          </w:tbl>
          <w:p w14:paraId="483E1ED0"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5BC2FA2"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687"/>
                  </w:tblGrid>
                  <w:tr w:rsidR="00DF1E3F" w14:paraId="7ADD536A"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135" w:type="dxa"/>
                          <w:right w:w="135" w:type="dxa"/>
                        </w:tcMar>
                        <w:hideMark/>
                      </w:tcPr>
                      <w:p w14:paraId="1230F2BF" w14:textId="2B8CF389" w:rsidR="00DF1E3F" w:rsidRDefault="00DF1E3F">
                        <w:pPr>
                          <w:rPr>
                            <w:rFonts w:ascii="Times New Roman" w:hAnsi="Times New Roman"/>
                          </w:rPr>
                        </w:pPr>
                        <w:r>
                          <w:rPr>
                            <w:noProof/>
                            <w:color w:val="464FEB"/>
                          </w:rPr>
                          <w:lastRenderedPageBreak/>
                          <w:drawing>
                            <wp:inline distT="0" distB="0" distL="0" distR="0" wp14:anchorId="6BB40A1C" wp14:editId="64A1BAED">
                              <wp:extent cx="5727700" cy="3218180"/>
                              <wp:effectExtent l="0" t="0" r="0" b="0"/>
                              <wp:docPr id="1064558213" name="Picture 12">
                                <a:hlinkClick xmlns:a="http://schemas.openxmlformats.org/drawingml/2006/main" r:id="rId7"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7" tgtFrame="&quot;_blank&quot;"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218180"/>
                                      </a:xfrm>
                                      <a:prstGeom prst="rect">
                                        <a:avLst/>
                                      </a:prstGeom>
                                      <a:noFill/>
                                      <a:ln>
                                        <a:noFill/>
                                      </a:ln>
                                    </pic:spPr>
                                  </pic:pic>
                                </a:graphicData>
                              </a:graphic>
                            </wp:inline>
                          </w:drawing>
                        </w:r>
                      </w:p>
                    </w:tc>
                  </w:tr>
                  <w:tr w:rsidR="00DF1E3F" w14:paraId="6DF38E14" w14:textId="77777777">
                    <w:tc>
                      <w:tcPr>
                        <w:tcW w:w="8460" w:type="dxa"/>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p w14:paraId="17D5F508" w14:textId="77777777" w:rsidR="00DF1E3F" w:rsidRDefault="00DF1E3F">
                        <w:pPr>
                          <w:pStyle w:val="Heading2"/>
                          <w:spacing w:before="0" w:line="375" w:lineRule="atLeast"/>
                          <w:rPr>
                            <w:rFonts w:ascii="Arial" w:hAnsi="Arial" w:cs="Arial"/>
                            <w:color w:val="4C6AA2"/>
                            <w:spacing w:val="-11"/>
                            <w:sz w:val="30"/>
                            <w:szCs w:val="30"/>
                          </w:rPr>
                        </w:pPr>
                        <w:hyperlink r:id="rId9" w:tgtFrame="_blank" w:history="1">
                          <w:r>
                            <w:rPr>
                              <w:rStyle w:val="Hyperlink"/>
                              <w:rFonts w:ascii="Helvetica Neue" w:hAnsi="Helvetica Neue" w:cs="Arial"/>
                              <w:color w:val="4C6AA2"/>
                              <w:spacing w:val="-11"/>
                              <w:sz w:val="30"/>
                              <w:szCs w:val="30"/>
                              <w:u w:val="none"/>
                            </w:rPr>
                            <w:t>AUKUS Inquiry update</w:t>
                          </w:r>
                        </w:hyperlink>
                      </w:p>
                      <w:p w14:paraId="06260090" w14:textId="77777777" w:rsidR="00DF1E3F" w:rsidRDefault="00DF1E3F">
                        <w:pPr>
                          <w:spacing w:line="300" w:lineRule="atLeast"/>
                          <w:rPr>
                            <w:rFonts w:ascii="Verdana" w:hAnsi="Verdana" w:cs="Times New Roman"/>
                            <w:color w:val="000000"/>
                          </w:rPr>
                        </w:pPr>
                        <w:r>
                          <w:rPr>
                            <w:rFonts w:ascii="Helvetica Neue" w:hAnsi="Helvetica Neue"/>
                            <w:color w:val="000000"/>
                            <w:sz w:val="18"/>
                            <w:szCs w:val="18"/>
                          </w:rPr>
                          <w:t>The independent AUKUS Public Inquiry held a Hearing in Sydney on 10 August. Speakers included AIIA NSW Councillor Jocelyn Chey, whose submission will be published on </w:t>
                        </w:r>
                        <w:hyperlink r:id="rId10" w:history="1">
                          <w:r>
                            <w:rPr>
                              <w:rStyle w:val="Hyperlink"/>
                              <w:rFonts w:ascii="Helvetica Neue" w:hAnsi="Helvetica Neue"/>
                              <w:b/>
                              <w:bCs/>
                              <w:color w:val="4C6AA2"/>
                              <w:sz w:val="18"/>
                              <w:szCs w:val="18"/>
                              <w:u w:val="none"/>
                            </w:rPr>
                            <w:t>the Inquiry website</w:t>
                          </w:r>
                        </w:hyperlink>
                        <w:r>
                          <w:rPr>
                            <w:rFonts w:ascii="Helvetica Neue" w:hAnsi="Helvetica Neue"/>
                            <w:color w:val="000000"/>
                            <w:sz w:val="18"/>
                            <w:szCs w:val="18"/>
                          </w:rPr>
                          <w:t>. Public hearings are continuing, and submissions are still being received, with a final report scheduled for publication by October 30, 2026. Commissioners are examining the $368 billion price tag, transparency and parliamentary oversight, nuclear waste management, and national sovereignty. </w:t>
                        </w:r>
                        <w:r>
                          <w:rPr>
                            <w:rFonts w:ascii="Helvetica Neue" w:hAnsi="Helvetica Neue"/>
                            <w:color w:val="000000"/>
                            <w:sz w:val="18"/>
                            <w:szCs w:val="18"/>
                          </w:rPr>
                          <w:br/>
                          <w:t> </w:t>
                        </w:r>
                        <w:r>
                          <w:rPr>
                            <w:rFonts w:ascii="Helvetica Neue" w:hAnsi="Helvetica Neue"/>
                            <w:color w:val="000000"/>
                            <w:sz w:val="18"/>
                            <w:szCs w:val="18"/>
                          </w:rPr>
                          <w:br/>
                          <w:t xml:space="preserve">To date, over 500 submissions have been received, revealing an overwhelming community and expert consensus critical of the $368 billion defence pact. Submissions from high-profile political figures, including former ministers Gareth Evans, Christopher Pyne, and Linda Reynolds, highlight anxiety regarding the policy’s execution and strategic value. Civil society organisations have focused heavily on nuclear non-proliferation risks, warning that military reactors </w:t>
                        </w:r>
                        <w:proofErr w:type="spellStart"/>
                        <w:r>
                          <w:rPr>
                            <w:rFonts w:ascii="Helvetica Neue" w:hAnsi="Helvetica Neue"/>
                            <w:color w:val="000000"/>
                            <w:sz w:val="18"/>
                            <w:szCs w:val="18"/>
                          </w:rPr>
                          <w:t>fueled</w:t>
                        </w:r>
                        <w:proofErr w:type="spellEnd"/>
                        <w:r>
                          <w:rPr>
                            <w:rFonts w:ascii="Helvetica Neue" w:hAnsi="Helvetica Neue"/>
                            <w:color w:val="000000"/>
                            <w:sz w:val="18"/>
                            <w:szCs w:val="18"/>
                          </w:rPr>
                          <w:t xml:space="preserve"> by highly enriched uranium exploit dangerous legal safeguards loopholes.</w:t>
                        </w:r>
                        <w:r>
                          <w:rPr>
                            <w:rFonts w:ascii="Helvetica Neue" w:hAnsi="Helvetica Neue"/>
                            <w:color w:val="000000"/>
                            <w:sz w:val="18"/>
                            <w:szCs w:val="18"/>
                          </w:rPr>
                          <w:br/>
                          <w:t> </w:t>
                        </w:r>
                        <w:r>
                          <w:rPr>
                            <w:rFonts w:ascii="Helvetica Neue" w:hAnsi="Helvetica Neue"/>
                            <w:color w:val="000000"/>
                            <w:sz w:val="18"/>
                            <w:szCs w:val="18"/>
                          </w:rPr>
                          <w:br/>
                          <w:t>Overall, concerns include: that Australia is being locked into the US military structure at the expense of its independence; that the dangers of domestic storage and long-term environmental risks of high-level radioactive waste have not been considered; that the cost is diverting billions from housing, health, and climate action; and that the deal makes Australia a nuclear target and damages regional relationship dynamics. Very few submissions processed to date actively support the current policy framework. </w:t>
                        </w:r>
                      </w:p>
                      <w:p w14:paraId="7AF040D1" w14:textId="77777777" w:rsidR="00DF1E3F" w:rsidRDefault="00DF1E3F">
                        <w:pPr>
                          <w:spacing w:line="300" w:lineRule="atLeast"/>
                          <w:rPr>
                            <w:rFonts w:ascii="Verdana" w:hAnsi="Verdana"/>
                            <w:color w:val="000000"/>
                          </w:rPr>
                        </w:pPr>
                        <w:r>
                          <w:rPr>
                            <w:rFonts w:ascii="Verdana" w:hAnsi="Verdana"/>
                            <w:color w:val="000000"/>
                          </w:rPr>
                          <w:br/>
                        </w:r>
                        <w:r>
                          <w:rPr>
                            <w:rFonts w:ascii="Helvetica Neue" w:hAnsi="Helvetica Neue"/>
                            <w:color w:val="000000"/>
                            <w:sz w:val="17"/>
                            <w:szCs w:val="17"/>
                          </w:rPr>
                          <w:t>Image credit: BAE Systems, Artist rendering of possible design for SSN-AUKUS submarines, via </w:t>
                        </w:r>
                        <w:hyperlink r:id="rId11" w:tgtFrame="_blank" w:history="1">
                          <w:r>
                            <w:rPr>
                              <w:rStyle w:val="Hyperlink"/>
                              <w:rFonts w:ascii="Helvetica Neue" w:hAnsi="Helvetica Neue"/>
                              <w:b/>
                              <w:bCs/>
                              <w:color w:val="4C6AA2"/>
                              <w:sz w:val="17"/>
                              <w:szCs w:val="17"/>
                              <w:u w:val="none"/>
                            </w:rPr>
                            <w:t>Wikimedia Commons</w:t>
                          </w:r>
                        </w:hyperlink>
                      </w:p>
                    </w:tc>
                  </w:tr>
                </w:tbl>
                <w:p w14:paraId="339E94B8" w14:textId="77777777" w:rsidR="00DF1E3F" w:rsidRDefault="00DF1E3F">
                  <w:pPr>
                    <w:rPr>
                      <w:rFonts w:ascii="Times New Roman" w:hAnsi="Times New Roman"/>
                    </w:rPr>
                  </w:pPr>
                </w:p>
              </w:tc>
            </w:tr>
          </w:tbl>
          <w:p w14:paraId="7F7C3D0E"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3EF64C38"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7EF38440"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5C3F2ECE" w14:textId="77777777" w:rsidR="00DF1E3F" w:rsidRDefault="00DF1E3F">
                        <w:pPr>
                          <w:rPr>
                            <w:rFonts w:ascii="Times" w:hAnsi="Times"/>
                            <w:color w:val="000000"/>
                            <w:sz w:val="27"/>
                            <w:szCs w:val="27"/>
                          </w:rPr>
                        </w:pPr>
                      </w:p>
                    </w:tc>
                  </w:tr>
                </w:tbl>
                <w:p w14:paraId="5F258F46" w14:textId="77777777" w:rsidR="00DF1E3F" w:rsidRDefault="00DF1E3F"/>
              </w:tc>
            </w:tr>
          </w:tbl>
          <w:p w14:paraId="09D6C761"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0322E73"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43A1BC38"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0FAB8F36" w14:textId="77777777" w:rsidR="00DF1E3F" w:rsidRDefault="00DF1E3F">
                        <w:pPr>
                          <w:pStyle w:val="NormalWeb"/>
                          <w:spacing w:before="150" w:beforeAutospacing="0" w:after="150" w:afterAutospacing="0" w:line="360" w:lineRule="atLeast"/>
                          <w:rPr>
                            <w:rFonts w:ascii="Arial" w:hAnsi="Arial" w:cs="Arial"/>
                            <w:color w:val="000000"/>
                          </w:rPr>
                        </w:pPr>
                        <w:r>
                          <w:rPr>
                            <w:rStyle w:val="Emphasis"/>
                            <w:rFonts w:ascii="Helvetica Neue" w:hAnsi="Helvetica Neue" w:cs="Arial"/>
                            <w:color w:val="000000"/>
                            <w:sz w:val="17"/>
                            <w:szCs w:val="17"/>
                          </w:rPr>
                          <w:lastRenderedPageBreak/>
                          <w:t>This update was provided by Jocelyn Chey AM. Jocelyn is an Adjunct Professor at the Australia-China Relations Institute, University of Technology Sydney, Visiting Professor at the University of Sydney and an Adjunct Professor at the Australia-China Institute for Arts and Culture at Western Sydney University. She was previously a senior officer in the Department of Foreign Affairs and Trade. Jocelyn is a Fellow of the Australian Institute of International Affairs.</w:t>
                        </w:r>
                      </w:p>
                    </w:tc>
                  </w:tr>
                </w:tbl>
                <w:p w14:paraId="2EBE93A0" w14:textId="77777777" w:rsidR="00DF1E3F" w:rsidRDefault="00DF1E3F">
                  <w:pPr>
                    <w:rPr>
                      <w:rFonts w:ascii="Times New Roman" w:hAnsi="Times New Roman" w:cs="Times New Roman"/>
                    </w:rPr>
                  </w:pPr>
                </w:p>
              </w:tc>
            </w:tr>
          </w:tbl>
          <w:p w14:paraId="002CDD01"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17E3177"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7C06088F"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54272011" w14:textId="77777777" w:rsidR="00DF1E3F" w:rsidRDefault="00DF1E3F">
                        <w:pPr>
                          <w:rPr>
                            <w:rFonts w:ascii="Times" w:hAnsi="Times"/>
                            <w:color w:val="000000"/>
                            <w:sz w:val="27"/>
                            <w:szCs w:val="27"/>
                          </w:rPr>
                        </w:pPr>
                      </w:p>
                    </w:tc>
                  </w:tr>
                </w:tbl>
                <w:p w14:paraId="0E83631E" w14:textId="77777777" w:rsidR="00DF1E3F" w:rsidRDefault="00DF1E3F"/>
              </w:tc>
            </w:tr>
          </w:tbl>
          <w:p w14:paraId="413C8B94"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4FEEFCC6"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4C48E060"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4AC39571" w14:textId="77777777" w:rsidR="00DF1E3F" w:rsidRDefault="00DF1E3F">
                        <w:pPr>
                          <w:rPr>
                            <w:rFonts w:ascii="Times" w:hAnsi="Times"/>
                            <w:color w:val="000000"/>
                            <w:sz w:val="27"/>
                            <w:szCs w:val="27"/>
                          </w:rPr>
                        </w:pPr>
                      </w:p>
                    </w:tc>
                  </w:tr>
                </w:tbl>
                <w:p w14:paraId="22D491ED" w14:textId="77777777" w:rsidR="00DF1E3F" w:rsidRDefault="00DF1E3F"/>
              </w:tc>
            </w:tr>
          </w:tbl>
          <w:p w14:paraId="1E64234E"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7A8416A1"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687"/>
                  </w:tblGrid>
                  <w:tr w:rsidR="00DF1E3F" w14:paraId="7ADCBBF6"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135" w:type="dxa"/>
                          <w:right w:w="135" w:type="dxa"/>
                        </w:tcMar>
                        <w:hideMark/>
                      </w:tcPr>
                      <w:p w14:paraId="02AB25FB" w14:textId="05824CD2" w:rsidR="00DF1E3F" w:rsidRDefault="00DF1E3F">
                        <w:pPr>
                          <w:rPr>
                            <w:rFonts w:ascii="Times New Roman" w:hAnsi="Times New Roman"/>
                          </w:rPr>
                        </w:pPr>
                        <w:r>
                          <w:rPr>
                            <w:noProof/>
                            <w:color w:val="464FEB"/>
                          </w:rPr>
                          <w:drawing>
                            <wp:inline distT="0" distB="0" distL="0" distR="0" wp14:anchorId="74F4B341" wp14:editId="2B55614B">
                              <wp:extent cx="5727700" cy="3215005"/>
                              <wp:effectExtent l="0" t="0" r="0" b="0"/>
                              <wp:docPr id="1456389817" name="Picture 11">
                                <a:hlinkClick xmlns:a="http://schemas.openxmlformats.org/drawingml/2006/main" r:id="rId7"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7" tgtFrame="&quot;_blank&quot;"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215005"/>
                                      </a:xfrm>
                                      <a:prstGeom prst="rect">
                                        <a:avLst/>
                                      </a:prstGeom>
                                      <a:noFill/>
                                      <a:ln>
                                        <a:noFill/>
                                      </a:ln>
                                    </pic:spPr>
                                  </pic:pic>
                                </a:graphicData>
                              </a:graphic>
                            </wp:inline>
                          </w:drawing>
                        </w:r>
                      </w:p>
                    </w:tc>
                  </w:tr>
                  <w:tr w:rsidR="00DF1E3F" w14:paraId="555206CD" w14:textId="77777777">
                    <w:tc>
                      <w:tcPr>
                        <w:tcW w:w="8445" w:type="dxa"/>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p w14:paraId="0123CBE7" w14:textId="77777777" w:rsidR="00DF1E3F" w:rsidRDefault="00DF1E3F">
                        <w:pPr>
                          <w:spacing w:after="240" w:line="300" w:lineRule="atLeast"/>
                          <w:rPr>
                            <w:rFonts w:ascii="Verdana" w:hAnsi="Verdana"/>
                            <w:color w:val="000000"/>
                          </w:rPr>
                        </w:pPr>
                        <w:hyperlink r:id="rId13" w:tgtFrame="_blank" w:history="1">
                          <w:r>
                            <w:rPr>
                              <w:rStyle w:val="Hyperlink"/>
                              <w:rFonts w:ascii="Helvetica Neue" w:hAnsi="Helvetica Neue"/>
                              <w:b/>
                              <w:bCs/>
                              <w:color w:val="4C6AA2"/>
                              <w:sz w:val="30"/>
                              <w:szCs w:val="30"/>
                              <w:u w:val="none"/>
                            </w:rPr>
                            <w:t>Is the tide turning in the Russia-Ukraine war?</w:t>
                          </w:r>
                        </w:hyperlink>
                        <w:r>
                          <w:rPr>
                            <w:rFonts w:ascii="Verdana" w:hAnsi="Verdana"/>
                            <w:color w:val="000000"/>
                          </w:rPr>
                          <w:br/>
                        </w:r>
                        <w:r>
                          <w:rPr>
                            <w:rFonts w:ascii="Helvetica Neue" w:hAnsi="Helvetica Neue"/>
                            <w:color w:val="000000"/>
                            <w:sz w:val="18"/>
                            <w:szCs w:val="18"/>
                          </w:rPr>
                          <w:t>With the Ukraine-Russia war now in its fifth year, most international reporting focuses on Ukraine’s successes - with US and other western support - in attacks on Russian infrastructure, shipping and population centres. These reports detect signs of increasing economic difficulties for Russia in continuing its war effort and predict challenges to Putin’s supremacy.</w:t>
                        </w:r>
                        <w:r>
                          <w:rPr>
                            <w:rFonts w:ascii="Helvetica Neue" w:hAnsi="Helvetica Neue"/>
                            <w:color w:val="000000"/>
                            <w:sz w:val="18"/>
                            <w:szCs w:val="18"/>
                          </w:rPr>
                          <w:br/>
                        </w:r>
                        <w:r>
                          <w:rPr>
                            <w:rFonts w:ascii="Helvetica Neue" w:hAnsi="Helvetica Neue"/>
                            <w:color w:val="000000"/>
                            <w:sz w:val="18"/>
                            <w:szCs w:val="18"/>
                          </w:rPr>
                          <w:br/>
                          <w:t>But Owen Matthews in </w:t>
                        </w:r>
                        <w:r>
                          <w:rPr>
                            <w:rStyle w:val="Emphasis"/>
                            <w:rFonts w:ascii="Helvetica Neue" w:hAnsi="Helvetica Neue"/>
                            <w:color w:val="000000"/>
                            <w:sz w:val="18"/>
                            <w:szCs w:val="18"/>
                          </w:rPr>
                          <w:t>The Spectator o</w:t>
                        </w:r>
                        <w:r>
                          <w:rPr>
                            <w:rFonts w:ascii="Helvetica Neue" w:hAnsi="Helvetica Neue"/>
                            <w:color w:val="000000"/>
                            <w:sz w:val="18"/>
                            <w:szCs w:val="18"/>
                          </w:rPr>
                          <w:t>f 5 August gives a more </w:t>
                        </w:r>
                        <w:hyperlink r:id="rId14" w:tgtFrame="_blank" w:history="1">
                          <w:r>
                            <w:rPr>
                              <w:rStyle w:val="Hyperlink"/>
                              <w:rFonts w:ascii="Helvetica Neue" w:hAnsi="Helvetica Neue"/>
                              <w:b/>
                              <w:bCs/>
                              <w:color w:val="4C6AA2"/>
                              <w:sz w:val="18"/>
                              <w:szCs w:val="18"/>
                              <w:u w:val="none"/>
                            </w:rPr>
                            <w:t>sombre analysis</w:t>
                          </w:r>
                        </w:hyperlink>
                        <w:r>
                          <w:rPr>
                            <w:rFonts w:ascii="Helvetica Neue" w:hAnsi="Helvetica Neue"/>
                            <w:color w:val="000000"/>
                            <w:sz w:val="18"/>
                            <w:szCs w:val="18"/>
                          </w:rPr>
                          <w:t>. He observes that Kiev continues to suffer Russian ballistic missile attacks with mounting casualties and infrastructure destruction. Due to the demands of the US-Israeli war on Iran, there is little prospect of additional US supplies of the PAC-3 Patriot interceptors which have proved effective against Russian missiles. Russian missile attacks are increasing. Ukraine's vital port at Odessa has effectively been put out of action, and alternative routes for its grain exports have limited capacity.</w:t>
                        </w:r>
                        <w:r>
                          <w:rPr>
                            <w:rFonts w:ascii="Helvetica Neue" w:hAnsi="Helvetica Neue"/>
                            <w:color w:val="000000"/>
                            <w:sz w:val="18"/>
                            <w:szCs w:val="18"/>
                          </w:rPr>
                          <w:br/>
                        </w:r>
                        <w:r>
                          <w:rPr>
                            <w:rFonts w:ascii="Helvetica Neue" w:hAnsi="Helvetica Neue"/>
                            <w:color w:val="000000"/>
                            <w:sz w:val="18"/>
                            <w:szCs w:val="18"/>
                          </w:rPr>
                          <w:br/>
                          <w:t xml:space="preserve">Russia remains able to continue its destruction of Ukraine's energy, water, petrol, and heating infrastructures. The coming winter will see unrelenting Russian ballistic attacks, with damaging consequences for Ukraine's war effort and for President Zelensky's support. Despite Ukrainian attacks, Russia's war economy is far from crippled. The defensive weaponry provided to Ukraine by Western </w:t>
                        </w:r>
                        <w:r>
                          <w:rPr>
                            <w:rFonts w:ascii="Helvetica Neue" w:hAnsi="Helvetica Neue"/>
                            <w:color w:val="000000"/>
                            <w:sz w:val="18"/>
                            <w:szCs w:val="18"/>
                          </w:rPr>
                          <w:lastRenderedPageBreak/>
                          <w:t>powers has not turned the tide.</w:t>
                        </w:r>
                        <w:r>
                          <w:rPr>
                            <w:rFonts w:ascii="Verdana" w:hAnsi="Verdana"/>
                            <w:color w:val="000000"/>
                          </w:rPr>
                          <w:br/>
                        </w:r>
                        <w:r>
                          <w:rPr>
                            <w:rFonts w:ascii="Verdana" w:hAnsi="Verdana"/>
                            <w:color w:val="000000"/>
                          </w:rPr>
                          <w:br/>
                        </w:r>
                        <w:r>
                          <w:rPr>
                            <w:rFonts w:ascii="Helvetica Neue" w:hAnsi="Helvetica Neue"/>
                            <w:color w:val="000000"/>
                            <w:sz w:val="17"/>
                            <w:szCs w:val="17"/>
                          </w:rPr>
                          <w:t>Image credit: 17th school of Kharkiv after Russian shelling (02).jpg from </w:t>
                        </w:r>
                        <w:hyperlink r:id="rId15" w:tgtFrame="_blank" w:history="1">
                          <w:r>
                            <w:rPr>
                              <w:rStyle w:val="Hyperlink"/>
                              <w:rFonts w:ascii="Helvetica Neue" w:hAnsi="Helvetica Neue"/>
                              <w:b/>
                              <w:bCs/>
                              <w:color w:val="4C6AA2"/>
                              <w:sz w:val="17"/>
                              <w:szCs w:val="17"/>
                              <w:u w:val="none"/>
                            </w:rPr>
                            <w:t>Wikimedia Commons</w:t>
                          </w:r>
                        </w:hyperlink>
                      </w:p>
                    </w:tc>
                  </w:tr>
                </w:tbl>
                <w:p w14:paraId="46DBD4EB" w14:textId="77777777" w:rsidR="00DF1E3F" w:rsidRDefault="00DF1E3F">
                  <w:pPr>
                    <w:rPr>
                      <w:rFonts w:ascii="Times New Roman" w:hAnsi="Times New Roman"/>
                    </w:rPr>
                  </w:pPr>
                </w:p>
              </w:tc>
            </w:tr>
          </w:tbl>
          <w:p w14:paraId="386527D5"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4CCE876C"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2D82A961"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1BB5EE46" w14:textId="77777777" w:rsidR="00DF1E3F" w:rsidRDefault="00DF1E3F">
                        <w:pPr>
                          <w:rPr>
                            <w:rFonts w:ascii="Times" w:hAnsi="Times"/>
                            <w:color w:val="000000"/>
                            <w:sz w:val="27"/>
                            <w:szCs w:val="27"/>
                          </w:rPr>
                        </w:pPr>
                      </w:p>
                    </w:tc>
                  </w:tr>
                </w:tbl>
                <w:p w14:paraId="08A8BFB0" w14:textId="77777777" w:rsidR="00DF1E3F" w:rsidRDefault="00DF1E3F"/>
              </w:tc>
            </w:tr>
          </w:tbl>
          <w:p w14:paraId="2A2E14D3"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302EC0E7"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20C179B3"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44E1AD48" w14:textId="77777777" w:rsidR="00DF1E3F" w:rsidRDefault="00DF1E3F">
                        <w:pPr>
                          <w:pStyle w:val="NormalWeb"/>
                          <w:spacing w:before="150" w:beforeAutospacing="0" w:after="150" w:afterAutospacing="0" w:line="360" w:lineRule="atLeast"/>
                          <w:rPr>
                            <w:rFonts w:ascii="Arial" w:hAnsi="Arial" w:cs="Arial"/>
                            <w:color w:val="000000"/>
                          </w:rPr>
                        </w:pPr>
                        <w:r>
                          <w:rPr>
                            <w:rStyle w:val="Emphasis"/>
                            <w:rFonts w:ascii="Helvetica Neue" w:hAnsi="Helvetica Neue" w:cs="Arial"/>
                            <w:color w:val="000000"/>
                            <w:sz w:val="17"/>
                            <w:szCs w:val="17"/>
                          </w:rPr>
                          <w:t xml:space="preserve">This article was selected by Ian Lincoln, President of AIIA NSW since 2017. Ian was in the Department of Foreign Affairs for 33 years including postings in Asia, Africa, Europe and the Pacific. He was later an appellate member of the Refugee Review Tribunal and has worked in </w:t>
                        </w:r>
                        <w:proofErr w:type="gramStart"/>
                        <w:r>
                          <w:rPr>
                            <w:rStyle w:val="Emphasis"/>
                            <w:rFonts w:ascii="Helvetica Neue" w:hAnsi="Helvetica Neue" w:cs="Arial"/>
                            <w:color w:val="000000"/>
                            <w:sz w:val="17"/>
                            <w:szCs w:val="17"/>
                          </w:rPr>
                          <w:t>a number of</w:t>
                        </w:r>
                        <w:proofErr w:type="gramEnd"/>
                        <w:r>
                          <w:rPr>
                            <w:rStyle w:val="Emphasis"/>
                            <w:rFonts w:ascii="Helvetica Neue" w:hAnsi="Helvetica Neue" w:cs="Arial"/>
                            <w:color w:val="000000"/>
                            <w:sz w:val="17"/>
                            <w:szCs w:val="17"/>
                          </w:rPr>
                          <w:t xml:space="preserve"> community organisations.</w:t>
                        </w:r>
                      </w:p>
                    </w:tc>
                  </w:tr>
                </w:tbl>
                <w:p w14:paraId="39669A00" w14:textId="77777777" w:rsidR="00DF1E3F" w:rsidRDefault="00DF1E3F">
                  <w:pPr>
                    <w:rPr>
                      <w:rFonts w:ascii="Times New Roman" w:hAnsi="Times New Roman" w:cs="Times New Roman"/>
                    </w:rPr>
                  </w:pPr>
                </w:p>
              </w:tc>
            </w:tr>
          </w:tbl>
          <w:p w14:paraId="0CAB1BAA"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2F3066B5"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0B067133"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1B50EFA6" w14:textId="77777777" w:rsidR="00DF1E3F" w:rsidRDefault="00DF1E3F">
                        <w:pPr>
                          <w:rPr>
                            <w:rFonts w:ascii="Times" w:hAnsi="Times"/>
                            <w:color w:val="000000"/>
                            <w:sz w:val="27"/>
                            <w:szCs w:val="27"/>
                          </w:rPr>
                        </w:pPr>
                      </w:p>
                    </w:tc>
                  </w:tr>
                </w:tbl>
                <w:p w14:paraId="1131665B" w14:textId="77777777" w:rsidR="00DF1E3F" w:rsidRDefault="00DF1E3F"/>
              </w:tc>
            </w:tr>
          </w:tbl>
          <w:p w14:paraId="6EE109B0"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5E354A6A" w14:textId="77777777">
              <w:tc>
                <w:tcPr>
                  <w:tcW w:w="0" w:type="auto"/>
                  <w:tcBorders>
                    <w:top w:val="single" w:sz="6" w:space="0" w:color="E6E6E6"/>
                    <w:left w:val="single" w:sz="6" w:space="0" w:color="E6E6E6"/>
                    <w:bottom w:val="single" w:sz="6" w:space="0" w:color="E6E6E6"/>
                    <w:right w:val="single" w:sz="6" w:space="0" w:color="E6E6E6"/>
                  </w:tcBorders>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68B1381F" w14:textId="77777777">
                    <w:tc>
                      <w:tcPr>
                        <w:tcW w:w="0" w:type="auto"/>
                        <w:tcBorders>
                          <w:top w:val="single" w:sz="6" w:space="0" w:color="E6E6E6"/>
                          <w:left w:val="single" w:sz="6" w:space="0" w:color="E6E6E6"/>
                          <w:bottom w:val="single" w:sz="6" w:space="0" w:color="E6E6E6"/>
                          <w:right w:val="single" w:sz="6" w:space="0" w:color="E6E6E6"/>
                        </w:tcBorders>
                        <w:tcMar>
                          <w:top w:w="135" w:type="dxa"/>
                          <w:left w:w="270" w:type="dxa"/>
                          <w:bottom w:w="135" w:type="dxa"/>
                          <w:right w:w="270" w:type="dxa"/>
                        </w:tcMar>
                        <w:vAlign w:val="center"/>
                        <w:hideMark/>
                      </w:tcPr>
                      <w:tbl>
                        <w:tblPr>
                          <w:tblW w:w="5000" w:type="pct"/>
                          <w:shd w:val="clear" w:color="auto" w:fill="4B6AA2"/>
                          <w:tblCellMar>
                            <w:top w:w="15" w:type="dxa"/>
                            <w:left w:w="15" w:type="dxa"/>
                            <w:bottom w:w="15" w:type="dxa"/>
                            <w:right w:w="15" w:type="dxa"/>
                          </w:tblCellMar>
                          <w:tblLook w:val="04A0" w:firstRow="1" w:lastRow="0" w:firstColumn="1" w:lastColumn="0" w:noHBand="0" w:noVBand="1"/>
                        </w:tblPr>
                        <w:tblGrid>
                          <w:gridCol w:w="8386"/>
                        </w:tblGrid>
                        <w:tr w:rsidR="00DF1E3F" w14:paraId="393A5028" w14:textId="77777777">
                          <w:tc>
                            <w:tcPr>
                              <w:tcW w:w="0" w:type="auto"/>
                              <w:tcBorders>
                                <w:top w:val="single" w:sz="6" w:space="0" w:color="E6E6E6"/>
                                <w:left w:val="single" w:sz="6" w:space="0" w:color="E6E6E6"/>
                                <w:bottom w:val="single" w:sz="6" w:space="0" w:color="E6E6E6"/>
                                <w:right w:val="single" w:sz="6" w:space="0" w:color="E6E6E6"/>
                              </w:tcBorders>
                              <w:shd w:val="clear" w:color="auto" w:fill="4B6AA2"/>
                              <w:tcMar>
                                <w:top w:w="270" w:type="dxa"/>
                                <w:left w:w="270" w:type="dxa"/>
                                <w:bottom w:w="270" w:type="dxa"/>
                                <w:right w:w="270" w:type="dxa"/>
                              </w:tcMar>
                              <w:hideMark/>
                            </w:tcPr>
                            <w:p w14:paraId="4A3DA045" w14:textId="77777777" w:rsidR="00DF1E3F" w:rsidRDefault="00DF1E3F">
                              <w:pPr>
                                <w:spacing w:line="315" w:lineRule="atLeast"/>
                                <w:jc w:val="center"/>
                                <w:rPr>
                                  <w:rFonts w:ascii="Helvetica" w:hAnsi="Helvetica"/>
                                  <w:color w:val="F2F2F2"/>
                                  <w:sz w:val="21"/>
                                  <w:szCs w:val="21"/>
                                </w:rPr>
                              </w:pPr>
                              <w:r>
                                <w:rPr>
                                  <w:rStyle w:val="Strong"/>
                                  <w:rFonts w:ascii="Helvetica" w:hAnsi="Helvetica"/>
                                  <w:color w:val="F2F2F2"/>
                                  <w:sz w:val="36"/>
                                  <w:szCs w:val="36"/>
                                </w:rPr>
                                <w:t>From the Interns</w:t>
                              </w:r>
                            </w:p>
                          </w:tc>
                        </w:tr>
                      </w:tbl>
                      <w:p w14:paraId="0D21E740" w14:textId="77777777" w:rsidR="00DF1E3F" w:rsidRDefault="00DF1E3F">
                        <w:pPr>
                          <w:rPr>
                            <w:rFonts w:ascii="Times New Roman" w:hAnsi="Times New Roman"/>
                          </w:rPr>
                        </w:pPr>
                      </w:p>
                    </w:tc>
                  </w:tr>
                </w:tbl>
                <w:p w14:paraId="71C2EE1A" w14:textId="77777777" w:rsidR="00DF1E3F" w:rsidRDefault="00DF1E3F"/>
              </w:tc>
            </w:tr>
          </w:tbl>
          <w:p w14:paraId="3D749ECC"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527F7AD6"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684EBC8E"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3DFCCD3A" w14:textId="77777777" w:rsidR="00DF1E3F" w:rsidRDefault="00DF1E3F">
                        <w:pPr>
                          <w:spacing w:line="360" w:lineRule="atLeast"/>
                          <w:rPr>
                            <w:rFonts w:ascii="Verdana" w:hAnsi="Verdana"/>
                            <w:color w:val="222222"/>
                          </w:rPr>
                        </w:pPr>
                        <w:r>
                          <w:rPr>
                            <w:rFonts w:ascii="Helvetica Neue" w:hAnsi="Helvetica Neue"/>
                            <w:color w:val="222222"/>
                            <w:sz w:val="18"/>
                            <w:szCs w:val="18"/>
                          </w:rPr>
                          <w:t xml:space="preserve">In addition to our Councillors' recommendations, we invite our interns to share with you </w:t>
                        </w:r>
                        <w:proofErr w:type="gramStart"/>
                        <w:r>
                          <w:rPr>
                            <w:rFonts w:ascii="Helvetica Neue" w:hAnsi="Helvetica Neue"/>
                            <w:color w:val="222222"/>
                            <w:sz w:val="18"/>
                            <w:szCs w:val="18"/>
                          </w:rPr>
                          <w:t>what</w:t>
                        </w:r>
                        <w:proofErr w:type="gramEnd"/>
                        <w:r>
                          <w:rPr>
                            <w:rFonts w:ascii="Helvetica Neue" w:hAnsi="Helvetica Neue"/>
                            <w:color w:val="222222"/>
                            <w:sz w:val="18"/>
                            <w:szCs w:val="18"/>
                          </w:rPr>
                          <w:t xml:space="preserve"> they have found insightful or interesting in the world of international affairs. This week, Jack Bettar examines the diplomatic tensions in North Africa, Rebecca Wallwork considers the Flamingo Revolution in Albania, and Mia Conway looks to understand the role of social media in the 2025 Nepalese Gen Z protests. </w:t>
                        </w:r>
                      </w:p>
                      <w:p w14:paraId="265A1119" w14:textId="77777777" w:rsidR="00DF1E3F" w:rsidRDefault="00DF1E3F">
                        <w:pPr>
                          <w:spacing w:line="360" w:lineRule="atLeast"/>
                          <w:rPr>
                            <w:rFonts w:ascii="Verdana" w:hAnsi="Verdana"/>
                            <w:color w:val="222222"/>
                          </w:rPr>
                        </w:pPr>
                        <w:r>
                          <w:rPr>
                            <w:rStyle w:val="Emphasis"/>
                            <w:rFonts w:ascii="Helvetica Neue" w:hAnsi="Helvetica Neue"/>
                            <w:color w:val="222222"/>
                            <w:sz w:val="18"/>
                            <w:szCs w:val="18"/>
                          </w:rPr>
                          <w:t>Disclaimer: The views expressed below by councillors and interns are their own. The Australian Institute of International Affairs New South Wales does not take policy positions.</w:t>
                        </w:r>
                      </w:p>
                    </w:tc>
                  </w:tr>
                </w:tbl>
                <w:p w14:paraId="2FA47093" w14:textId="77777777" w:rsidR="00DF1E3F" w:rsidRDefault="00DF1E3F">
                  <w:pPr>
                    <w:rPr>
                      <w:rFonts w:ascii="Times New Roman" w:hAnsi="Times New Roman"/>
                    </w:rPr>
                  </w:pPr>
                </w:p>
              </w:tc>
            </w:tr>
          </w:tbl>
          <w:p w14:paraId="7F984FDC"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52D2CE60"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601BD52F"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113CAF40" w14:textId="77777777" w:rsidR="00DF1E3F" w:rsidRDefault="00DF1E3F">
                        <w:pPr>
                          <w:rPr>
                            <w:rFonts w:ascii="Times" w:hAnsi="Times"/>
                            <w:color w:val="000000"/>
                            <w:sz w:val="27"/>
                            <w:szCs w:val="27"/>
                          </w:rPr>
                        </w:pPr>
                      </w:p>
                    </w:tc>
                  </w:tr>
                </w:tbl>
                <w:p w14:paraId="26CE48FD" w14:textId="77777777" w:rsidR="00DF1E3F" w:rsidRDefault="00DF1E3F"/>
              </w:tc>
            </w:tr>
          </w:tbl>
          <w:p w14:paraId="7C44291D"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729DD1AA"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687"/>
                  </w:tblGrid>
                  <w:tr w:rsidR="00DF1E3F" w14:paraId="7EDF06F0"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135" w:type="dxa"/>
                          <w:right w:w="135" w:type="dxa"/>
                        </w:tcMar>
                        <w:hideMark/>
                      </w:tcPr>
                      <w:p w14:paraId="5DEA417B" w14:textId="6AE1481D" w:rsidR="00DF1E3F" w:rsidRDefault="00DF1E3F">
                        <w:pPr>
                          <w:jc w:val="center"/>
                          <w:rPr>
                            <w:rFonts w:ascii="Times New Roman" w:hAnsi="Times New Roman"/>
                          </w:rPr>
                        </w:pPr>
                        <w:r>
                          <w:rPr>
                            <w:noProof/>
                            <w:color w:val="464FEB"/>
                          </w:rPr>
                          <w:lastRenderedPageBreak/>
                          <w:drawing>
                            <wp:inline distT="0" distB="0" distL="0" distR="0" wp14:anchorId="6A8DB1C8" wp14:editId="720CA9F6">
                              <wp:extent cx="5727700" cy="4293870"/>
                              <wp:effectExtent l="0" t="0" r="0" b="0"/>
                              <wp:docPr id="395902098" name="Picture 10">
                                <a:hlinkClick xmlns:a="http://schemas.openxmlformats.org/drawingml/2006/main" r:id="rId16"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16" tgtFrame="&quot;_blank&quot;" tooltip="&quot;&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4293870"/>
                                      </a:xfrm>
                                      <a:prstGeom prst="rect">
                                        <a:avLst/>
                                      </a:prstGeom>
                                      <a:noFill/>
                                      <a:ln>
                                        <a:noFill/>
                                      </a:ln>
                                    </pic:spPr>
                                  </pic:pic>
                                </a:graphicData>
                              </a:graphic>
                            </wp:inline>
                          </w:drawing>
                        </w:r>
                      </w:p>
                    </w:tc>
                  </w:tr>
                  <w:tr w:rsidR="00DF1E3F" w14:paraId="7DF12C51" w14:textId="77777777">
                    <w:tc>
                      <w:tcPr>
                        <w:tcW w:w="8445" w:type="dxa"/>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p w14:paraId="4D1A1DAC" w14:textId="77777777" w:rsidR="00DF1E3F" w:rsidRDefault="00DF1E3F">
                        <w:pPr>
                          <w:pStyle w:val="NormalWeb"/>
                          <w:spacing w:before="150" w:beforeAutospacing="0" w:after="150" w:afterAutospacing="0" w:line="360" w:lineRule="atLeast"/>
                          <w:rPr>
                            <w:rFonts w:ascii="Verdana" w:hAnsi="Verdana"/>
                            <w:color w:val="4C6AA2"/>
                          </w:rPr>
                        </w:pPr>
                        <w:hyperlink r:id="rId18" w:tgtFrame="_blank" w:history="1">
                          <w:r>
                            <w:rPr>
                              <w:rStyle w:val="Hyperlink"/>
                              <w:rFonts w:ascii="Helvetica Neue" w:hAnsi="Helvetica Neue"/>
                              <w:b/>
                              <w:bCs/>
                              <w:color w:val="4C6AA2"/>
                              <w:sz w:val="30"/>
                              <w:szCs w:val="30"/>
                              <w:u w:val="none"/>
                            </w:rPr>
                            <w:t>M</w:t>
                          </w:r>
                        </w:hyperlink>
                        <w:hyperlink r:id="rId19" w:history="1">
                          <w:r>
                            <w:rPr>
                              <w:rStyle w:val="Hyperlink"/>
                              <w:rFonts w:ascii="Helvetica Neue" w:hAnsi="Helvetica Neue"/>
                              <w:b/>
                              <w:bCs/>
                              <w:color w:val="4C6AA2"/>
                              <w:sz w:val="30"/>
                              <w:szCs w:val="30"/>
                              <w:u w:val="none"/>
                            </w:rPr>
                            <w:t>orocco and Algeria: old rivals with new tensions?</w:t>
                          </w:r>
                        </w:hyperlink>
                        <w:r>
                          <w:rPr>
                            <w:rFonts w:ascii="Verdana" w:hAnsi="Verdana"/>
                            <w:color w:val="4C6AA2"/>
                          </w:rPr>
                          <w:br/>
                        </w:r>
                        <w:r>
                          <w:rPr>
                            <w:rFonts w:ascii="Helvetica Neue" w:hAnsi="Helvetica Neue"/>
                            <w:color w:val="000000"/>
                            <w:sz w:val="18"/>
                            <w:szCs w:val="18"/>
                          </w:rPr>
                          <w:t>The diplomatic rivalry between Algeria and Morocco has shaped North African geopolitics and foreign affairs for several decades. Recently, both countries made headlines again in relation to Spain’s influence in the region, as thousands of migrants from Morocco crossed into the Spanish-held island of Ceuta, a colonial-era possessio</w:t>
                        </w:r>
                        <w:r>
                          <w:rPr>
                            <w:rFonts w:ascii="Helvetica Neue" w:hAnsi="Helvetica Neue"/>
                            <w:color w:val="000000"/>
                            <w:sz w:val="20"/>
                            <w:szCs w:val="20"/>
                          </w:rPr>
                          <w:t>n just north of Morocco's Mediterranean coast. The event coincided with Spanish Prime Minister Pedro Sánchez’s visit to Algiers, prompting speculation that Morocco may have deliberately allowed the influx of migrants as a bargaining chip. Writing for </w:t>
                        </w:r>
                        <w:hyperlink r:id="rId20" w:tgtFrame="_blank" w:tooltip="https://www.dw.com/en/whats-behind-the-algeria-morocco-rivalry/a-78258062" w:history="1">
                          <w:r>
                            <w:rPr>
                              <w:rStyle w:val="Strong"/>
                              <w:rFonts w:ascii="Helvetica Neue" w:hAnsi="Helvetica Neue"/>
                              <w:color w:val="000000"/>
                              <w:sz w:val="20"/>
                              <w:szCs w:val="20"/>
                              <w:u w:val="single"/>
                            </w:rPr>
                            <w:t>Deutsche Welle</w:t>
                          </w:r>
                        </w:hyperlink>
                        <w:r>
                          <w:rPr>
                            <w:rFonts w:ascii="Helvetica Neue" w:hAnsi="Helvetica Neue"/>
                            <w:color w:val="000000"/>
                            <w:sz w:val="20"/>
                            <w:szCs w:val="20"/>
                          </w:rPr>
                          <w:t>, Kersten Knipp revisits the origins of the deep-seated rift between the two Maghrebi nations over the Western Sahara, from which Spain withdrew in 1975. Morocco maintains historical claims to the territory, while Algeria opposes Moroccan territorial expansion and supports Sahrawi self-determination and the independentist Polisario Front.</w:t>
                        </w:r>
                        <w:r>
                          <w:rPr>
                            <w:rFonts w:ascii="Verdana" w:hAnsi="Verdana"/>
                            <w:color w:val="4C6AA2"/>
                          </w:rPr>
                          <w:br/>
                        </w:r>
                        <w:r>
                          <w:rPr>
                            <w:rFonts w:ascii="Verdana" w:hAnsi="Verdana"/>
                            <w:color w:val="4C6AA2"/>
                          </w:rPr>
                          <w:br/>
                        </w:r>
                        <w:r>
                          <w:rPr>
                            <w:rFonts w:ascii="Helvetica Neue" w:hAnsi="Helvetica Neue"/>
                            <w:color w:val="000000"/>
                            <w:sz w:val="18"/>
                            <w:szCs w:val="18"/>
                          </w:rPr>
                          <w:t xml:space="preserve">Despite </w:t>
                        </w:r>
                        <w:proofErr w:type="gramStart"/>
                        <w:r>
                          <w:rPr>
                            <w:rFonts w:ascii="Helvetica Neue" w:hAnsi="Helvetica Neue"/>
                            <w:color w:val="000000"/>
                            <w:sz w:val="18"/>
                            <w:szCs w:val="18"/>
                          </w:rPr>
                          <w:t>a</w:t>
                        </w:r>
                        <w:proofErr w:type="gramEnd"/>
                        <w:r>
                          <w:rPr>
                            <w:rFonts w:ascii="Helvetica Neue" w:hAnsi="Helvetica Neue"/>
                            <w:color w:val="000000"/>
                            <w:sz w:val="18"/>
                            <w:szCs w:val="18"/>
                          </w:rPr>
                          <w:t xml:space="preserve"> UN-brokered ceasefire in 1991, a referendum allowing the Sahrawi people to determine the territory’s future has never taken place. Knipp argues that the dispute has evolved beyond the question of Western Sahara itself, becoming a competition for regional influence, military power and international partnerships. This is evident in Morocco’s normalisation of relations with Israel in 2020, which Algeria views as a potential security threat capable of shifting the regional balance of power to its detriment. As </w:t>
                        </w:r>
                        <w:r>
                          <w:rPr>
                            <w:rFonts w:ascii="Helvetica Neue" w:hAnsi="Helvetica Neue"/>
                            <w:color w:val="000000"/>
                            <w:sz w:val="18"/>
                            <w:szCs w:val="18"/>
                          </w:rPr>
                          <w:lastRenderedPageBreak/>
                          <w:t>Knipp reports, the rivalry has consequently developed into a broader security dilemma, with each country interpreting the other’s actions as a threat, while both remain strategically important to Europe in different ways.</w:t>
                        </w:r>
                        <w:r>
                          <w:rPr>
                            <w:rFonts w:ascii="Verdana" w:hAnsi="Verdana"/>
                            <w:color w:val="4C6AA2"/>
                          </w:rPr>
                          <w:br/>
                        </w:r>
                        <w:r>
                          <w:rPr>
                            <w:rFonts w:ascii="Verdana" w:hAnsi="Verdana"/>
                            <w:color w:val="4C6AA2"/>
                          </w:rPr>
                          <w:br/>
                        </w:r>
                        <w:r>
                          <w:rPr>
                            <w:rFonts w:ascii="Helvetica Neue" w:hAnsi="Helvetica Neue"/>
                            <w:color w:val="000000"/>
                            <w:sz w:val="17"/>
                            <w:szCs w:val="17"/>
                          </w:rPr>
                          <w:t>Image credit: Jack Bettar - the West Saharan diplomatic mission photographed in Algiers, Algeria (January 2026).</w:t>
                        </w:r>
                      </w:p>
                    </w:tc>
                  </w:tr>
                </w:tbl>
                <w:p w14:paraId="283E21A7" w14:textId="77777777" w:rsidR="00DF1E3F" w:rsidRDefault="00DF1E3F">
                  <w:pPr>
                    <w:rPr>
                      <w:rFonts w:ascii="Times New Roman" w:hAnsi="Times New Roman"/>
                    </w:rPr>
                  </w:pPr>
                </w:p>
              </w:tc>
            </w:tr>
          </w:tbl>
          <w:p w14:paraId="2B816A55"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496C3323"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095C9F1B"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1ED91739" w14:textId="77777777" w:rsidR="00DF1E3F" w:rsidRDefault="00DF1E3F">
                        <w:pPr>
                          <w:rPr>
                            <w:rFonts w:ascii="Times" w:hAnsi="Times"/>
                            <w:color w:val="000000"/>
                            <w:sz w:val="27"/>
                            <w:szCs w:val="27"/>
                          </w:rPr>
                        </w:pPr>
                      </w:p>
                    </w:tc>
                  </w:tr>
                </w:tbl>
                <w:p w14:paraId="41508788" w14:textId="77777777" w:rsidR="00DF1E3F" w:rsidRDefault="00DF1E3F"/>
              </w:tc>
            </w:tr>
          </w:tbl>
          <w:p w14:paraId="56F2B189"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7A249C2F"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6D14EF1F"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3791BD38" w14:textId="77777777" w:rsidR="00DF1E3F" w:rsidRDefault="00DF1E3F">
                        <w:pPr>
                          <w:spacing w:line="360" w:lineRule="atLeast"/>
                          <w:rPr>
                            <w:rFonts w:ascii="Verdana" w:hAnsi="Verdana"/>
                            <w:color w:val="4C6AA2"/>
                          </w:rPr>
                        </w:pPr>
                        <w:r>
                          <w:rPr>
                            <w:rStyle w:val="Emphasis"/>
                            <w:rFonts w:ascii="Helvetica Neue" w:hAnsi="Helvetica Neue"/>
                            <w:color w:val="000000"/>
                            <w:sz w:val="17"/>
                            <w:szCs w:val="17"/>
                          </w:rPr>
                          <w:t>This column was written by Jack Bettar. Jack is a Bachelor of Laws and Bachelor of Communications (Political and Social Sciences) student at the University of Technology Sydney. He has undertaken research and fieldwork in Egypt as part of a multidisciplinary expedition and has contributed to publications on the social and cultural history of the region.</w:t>
                        </w:r>
                      </w:p>
                    </w:tc>
                  </w:tr>
                </w:tbl>
                <w:p w14:paraId="57267A09" w14:textId="77777777" w:rsidR="00DF1E3F" w:rsidRDefault="00DF1E3F">
                  <w:pPr>
                    <w:rPr>
                      <w:rFonts w:ascii="Times New Roman" w:hAnsi="Times New Roman"/>
                    </w:rPr>
                  </w:pPr>
                </w:p>
              </w:tc>
            </w:tr>
          </w:tbl>
          <w:p w14:paraId="6988AD02"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72FC3F1C" w14:textId="77777777">
              <w:tc>
                <w:tcPr>
                  <w:tcW w:w="0" w:type="auto"/>
                  <w:tcBorders>
                    <w:top w:val="single" w:sz="6" w:space="0" w:color="E6E6E6"/>
                    <w:left w:val="single" w:sz="6" w:space="0" w:color="E6E6E6"/>
                    <w:bottom w:val="single" w:sz="6" w:space="0" w:color="E6E6E6"/>
                    <w:right w:val="single" w:sz="6" w:space="0" w:color="E6E6E6"/>
                  </w:tcBorders>
                  <w:tcMar>
                    <w:top w:w="150" w:type="dxa"/>
                    <w:left w:w="270" w:type="dxa"/>
                    <w:bottom w:w="150"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3EC63399"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3B62222F" w14:textId="77777777" w:rsidR="00DF1E3F" w:rsidRDefault="00DF1E3F">
                        <w:pPr>
                          <w:rPr>
                            <w:rFonts w:ascii="Times" w:hAnsi="Times"/>
                            <w:color w:val="000000"/>
                            <w:sz w:val="27"/>
                            <w:szCs w:val="27"/>
                          </w:rPr>
                        </w:pPr>
                      </w:p>
                    </w:tc>
                  </w:tr>
                </w:tbl>
                <w:p w14:paraId="54B65C35" w14:textId="77777777" w:rsidR="00DF1E3F" w:rsidRDefault="00DF1E3F"/>
              </w:tc>
            </w:tr>
          </w:tbl>
          <w:p w14:paraId="520DF78D"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2994A40E"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687"/>
                  </w:tblGrid>
                  <w:tr w:rsidR="00DF1E3F" w14:paraId="09D574A4"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135" w:type="dxa"/>
                          <w:right w:w="135" w:type="dxa"/>
                        </w:tcMar>
                        <w:hideMark/>
                      </w:tcPr>
                      <w:p w14:paraId="7CDEC917" w14:textId="14F92997" w:rsidR="00DF1E3F" w:rsidRDefault="00DF1E3F">
                        <w:pPr>
                          <w:jc w:val="center"/>
                          <w:rPr>
                            <w:rFonts w:ascii="Times New Roman" w:hAnsi="Times New Roman"/>
                          </w:rPr>
                        </w:pPr>
                        <w:r>
                          <w:rPr>
                            <w:noProof/>
                            <w:color w:val="464FEB"/>
                          </w:rPr>
                          <w:drawing>
                            <wp:inline distT="0" distB="0" distL="0" distR="0" wp14:anchorId="58EA3885" wp14:editId="64F48E04">
                              <wp:extent cx="5727700" cy="3815715"/>
                              <wp:effectExtent l="0" t="0" r="0" b="0"/>
                              <wp:docPr id="1226065490" name="Picture 9" descr="Protestors hold up signs including a flamingo">
                                <a:hlinkClick xmlns:a="http://schemas.openxmlformats.org/drawingml/2006/main" r:id="rId21"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otestors hold up signs including a flamingo">
                                        <a:hlinkClick r:id="rId21" tgtFrame="&quot;_blank&quot;" tooltip="&quot;&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3815715"/>
                                      </a:xfrm>
                                      <a:prstGeom prst="rect">
                                        <a:avLst/>
                                      </a:prstGeom>
                                      <a:noFill/>
                                      <a:ln>
                                        <a:noFill/>
                                      </a:ln>
                                    </pic:spPr>
                                  </pic:pic>
                                </a:graphicData>
                              </a:graphic>
                            </wp:inline>
                          </w:drawing>
                        </w:r>
                      </w:p>
                    </w:tc>
                  </w:tr>
                  <w:tr w:rsidR="00DF1E3F" w14:paraId="59AADD6A" w14:textId="77777777">
                    <w:tc>
                      <w:tcPr>
                        <w:tcW w:w="8445" w:type="dxa"/>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p w14:paraId="5CE85FAA" w14:textId="77777777" w:rsidR="00DF1E3F" w:rsidRDefault="00DF1E3F">
                        <w:pPr>
                          <w:pStyle w:val="NormalWeb"/>
                          <w:spacing w:before="150" w:beforeAutospacing="0" w:after="150" w:afterAutospacing="0" w:line="360" w:lineRule="atLeast"/>
                          <w:rPr>
                            <w:rFonts w:ascii="Verdana" w:hAnsi="Verdana"/>
                            <w:color w:val="4C6AA2"/>
                          </w:rPr>
                        </w:pPr>
                        <w:hyperlink r:id="rId23" w:tgtFrame="_blank" w:history="1">
                          <w:r>
                            <w:rPr>
                              <w:rStyle w:val="Hyperlink"/>
                              <w:rFonts w:ascii="Helvetica Neue" w:hAnsi="Helvetica Neue"/>
                              <w:b/>
                              <w:bCs/>
                              <w:color w:val="4C6AA2"/>
                              <w:sz w:val="30"/>
                              <w:szCs w:val="30"/>
                              <w:u w:val="none"/>
                            </w:rPr>
                            <w:t>Oligarchy and environmentalism in Albania</w:t>
                          </w:r>
                        </w:hyperlink>
                        <w:r>
                          <w:rPr>
                            <w:rFonts w:ascii="Verdana" w:hAnsi="Verdana"/>
                            <w:color w:val="000000"/>
                          </w:rPr>
                          <w:br/>
                        </w:r>
                        <w:r>
                          <w:rPr>
                            <w:rFonts w:ascii="Helvetica Neue" w:hAnsi="Helvetica Neue"/>
                            <w:color w:val="000000"/>
                            <w:sz w:val="18"/>
                            <w:szCs w:val="18"/>
                          </w:rPr>
                          <w:t>In a recent episode of his ABC podcast </w:t>
                        </w:r>
                        <w:r>
                          <w:rPr>
                            <w:rStyle w:val="Emphasis"/>
                            <w:rFonts w:ascii="Helvetica Neue" w:hAnsi="Helvetica Neue"/>
                            <w:color w:val="000000"/>
                            <w:sz w:val="18"/>
                            <w:szCs w:val="18"/>
                          </w:rPr>
                          <w:t>If You’re Listening,</w:t>
                        </w:r>
                        <w:r>
                          <w:rPr>
                            <w:rFonts w:ascii="Helvetica Neue" w:hAnsi="Helvetica Neue"/>
                            <w:color w:val="000000"/>
                            <w:sz w:val="18"/>
                            <w:szCs w:val="18"/>
                          </w:rPr>
                          <w:t> Matt Bevan </w:t>
                        </w:r>
                        <w:hyperlink r:id="rId24" w:tgtFrame="_blank" w:history="1">
                          <w:r>
                            <w:rPr>
                              <w:rStyle w:val="Hyperlink"/>
                              <w:rFonts w:ascii="Helvetica Neue" w:hAnsi="Helvetica Neue"/>
                              <w:b/>
                              <w:bCs/>
                              <w:color w:val="4C6AA2"/>
                              <w:sz w:val="18"/>
                              <w:szCs w:val="18"/>
                              <w:u w:val="none"/>
                            </w:rPr>
                            <w:t>examines</w:t>
                          </w:r>
                        </w:hyperlink>
                        <w:r>
                          <w:rPr>
                            <w:rFonts w:ascii="Helvetica Neue" w:hAnsi="Helvetica Neue"/>
                            <w:color w:val="000000"/>
                            <w:sz w:val="18"/>
                            <w:szCs w:val="18"/>
                          </w:rPr>
                          <w:t xml:space="preserve"> the ‘Flamingo Revolution’. This ongoing Albanian anti-government protest movement began in response to the government recently cutting red tape to enable a resort development project in the protected Norta Lagoon reserve. This </w:t>
                        </w:r>
                        <w:proofErr w:type="gramStart"/>
                        <w:r>
                          <w:rPr>
                            <w:rFonts w:ascii="Helvetica Neue" w:hAnsi="Helvetica Neue"/>
                            <w:color w:val="000000"/>
                            <w:sz w:val="18"/>
                            <w:szCs w:val="18"/>
                          </w:rPr>
                          <w:t>environmentally-disruptive</w:t>
                        </w:r>
                        <w:proofErr w:type="gramEnd"/>
                        <w:r>
                          <w:rPr>
                            <w:rFonts w:ascii="Helvetica Neue" w:hAnsi="Helvetica Neue"/>
                            <w:color w:val="000000"/>
                            <w:sz w:val="18"/>
                            <w:szCs w:val="18"/>
                          </w:rPr>
                          <w:t xml:space="preserve"> development has since drawn international attention, </w:t>
                        </w:r>
                        <w:r>
                          <w:rPr>
                            <w:rFonts w:ascii="Helvetica Neue" w:hAnsi="Helvetica Neue"/>
                            <w:color w:val="000000"/>
                            <w:sz w:val="18"/>
                            <w:szCs w:val="18"/>
                          </w:rPr>
                          <w:lastRenderedPageBreak/>
                          <w:t>not least because the project is backed by Donald Trump’s son-in-law Jared Kushner.</w:t>
                        </w:r>
                        <w:r>
                          <w:rPr>
                            <w:rFonts w:ascii="Helvetica Neue" w:hAnsi="Helvetica Neue"/>
                            <w:color w:val="000000"/>
                            <w:sz w:val="18"/>
                            <w:szCs w:val="18"/>
                          </w:rPr>
                          <w:br/>
                        </w:r>
                        <w:r>
                          <w:rPr>
                            <w:rFonts w:ascii="Helvetica Neue" w:hAnsi="Helvetica Neue"/>
                            <w:color w:val="000000"/>
                            <w:sz w:val="18"/>
                            <w:szCs w:val="18"/>
                          </w:rPr>
                          <w:br/>
                          <w:t>The Flamingo symbolises the extensive birdlife supported by the Lagoon, home also to other endangered species like the Loggerhead Sea Turtle. As distressing as the environmental risks are, Bevan highlights that the real frustration for many Albanians is the willingness of their government to take regulatory shortcuts. Following the end of communism in the 1990s, over half of Albania's most vulnerable people with limited financial literacy were taken advantage of by unregulated Ponzi schemes. This led to poverty and widespread protests, and according to Bevan, left the nation with a strong distrust of the Government and get-rich-quick schemes.</w:t>
                        </w:r>
                        <w:r>
                          <w:rPr>
                            <w:rFonts w:ascii="Helvetica Neue" w:hAnsi="Helvetica Neue"/>
                            <w:color w:val="000000"/>
                            <w:sz w:val="18"/>
                            <w:szCs w:val="18"/>
                          </w:rPr>
                          <w:br/>
                        </w:r>
                        <w:r>
                          <w:rPr>
                            <w:rFonts w:ascii="Helvetica Neue" w:hAnsi="Helvetica Neue"/>
                            <w:color w:val="000000"/>
                            <w:sz w:val="18"/>
                            <w:szCs w:val="18"/>
                          </w:rPr>
                          <w:br/>
                          <w:t>Overall, Bevan offers a compelling analysis of the risks posed by a development model that lacks transparency and adequate public interest safeguards. It will be interesting to see how the Government, in a country accustomed to long years of totalitarian rule, responds to the evolving pressure from civil society.</w:t>
                        </w:r>
                        <w:r>
                          <w:rPr>
                            <w:rFonts w:ascii="Verdana" w:hAnsi="Verdana"/>
                            <w:color w:val="4C6AA2"/>
                          </w:rPr>
                          <w:br/>
                        </w:r>
                        <w:r>
                          <w:rPr>
                            <w:rFonts w:ascii="Verdana" w:hAnsi="Verdana"/>
                            <w:color w:val="4C6AA2"/>
                          </w:rPr>
                          <w:br/>
                        </w:r>
                        <w:r>
                          <w:rPr>
                            <w:rFonts w:ascii="Helvetica Neue" w:hAnsi="Helvetica Neue"/>
                            <w:color w:val="000000"/>
                            <w:sz w:val="17"/>
                            <w:szCs w:val="17"/>
                          </w:rPr>
                          <w:t>Image credit: </w:t>
                        </w:r>
                        <w:proofErr w:type="spellStart"/>
                        <w:r>
                          <w:rPr>
                            <w:rFonts w:ascii="Helvetica Neue" w:hAnsi="Helvetica Neue"/>
                            <w:color w:val="000000"/>
                            <w:sz w:val="17"/>
                            <w:szCs w:val="17"/>
                          </w:rPr>
                          <w:t>Albinfo</w:t>
                        </w:r>
                        <w:proofErr w:type="spellEnd"/>
                        <w:r>
                          <w:rPr>
                            <w:rFonts w:ascii="Helvetica Neue" w:hAnsi="Helvetica Neue"/>
                            <w:color w:val="000000"/>
                            <w:sz w:val="17"/>
                            <w:szCs w:val="17"/>
                          </w:rPr>
                          <w:t xml:space="preserve">, Flamingo Revolution – </w:t>
                        </w:r>
                        <w:proofErr w:type="gramStart"/>
                        <w:r>
                          <w:rPr>
                            <w:rFonts w:ascii="Helvetica Neue" w:hAnsi="Helvetica Neue"/>
                            <w:color w:val="000000"/>
                            <w:sz w:val="17"/>
                            <w:szCs w:val="17"/>
                          </w:rPr>
                          <w:t>protests against</w:t>
                        </w:r>
                        <w:proofErr w:type="gramEnd"/>
                        <w:r>
                          <w:rPr>
                            <w:rFonts w:ascii="Helvetica Neue" w:hAnsi="Helvetica Neue"/>
                            <w:color w:val="000000"/>
                            <w:sz w:val="17"/>
                            <w:szCs w:val="17"/>
                          </w:rPr>
                          <w:t xml:space="preserve"> the government in Tirana on June 21</w:t>
                        </w:r>
                        <w:proofErr w:type="gramStart"/>
                        <w:r>
                          <w:rPr>
                            <w:rFonts w:ascii="Helvetica Neue" w:hAnsi="Helvetica Neue"/>
                            <w:color w:val="000000"/>
                            <w:sz w:val="17"/>
                            <w:szCs w:val="17"/>
                          </w:rPr>
                          <w:t> 2026</w:t>
                        </w:r>
                        <w:proofErr w:type="gramEnd"/>
                        <w:r>
                          <w:rPr>
                            <w:rFonts w:ascii="Helvetica Neue" w:hAnsi="Helvetica Neue"/>
                            <w:color w:val="000000"/>
                            <w:sz w:val="17"/>
                            <w:szCs w:val="17"/>
                          </w:rPr>
                          <w:t>, via </w:t>
                        </w:r>
                        <w:hyperlink r:id="rId25" w:tgtFrame="_blank" w:history="1">
                          <w:r>
                            <w:rPr>
                              <w:rStyle w:val="Hyperlink"/>
                              <w:rFonts w:ascii="Helvetica Neue" w:hAnsi="Helvetica Neue"/>
                              <w:b/>
                              <w:bCs/>
                              <w:color w:val="4C6AA2"/>
                              <w:sz w:val="17"/>
                              <w:szCs w:val="17"/>
                              <w:u w:val="none"/>
                            </w:rPr>
                            <w:t>Wikimedia Commons</w:t>
                          </w:r>
                        </w:hyperlink>
                      </w:p>
                    </w:tc>
                  </w:tr>
                </w:tbl>
                <w:p w14:paraId="0AFD117D" w14:textId="77777777" w:rsidR="00DF1E3F" w:rsidRDefault="00DF1E3F">
                  <w:pPr>
                    <w:rPr>
                      <w:rFonts w:ascii="Times New Roman" w:hAnsi="Times New Roman"/>
                    </w:rPr>
                  </w:pPr>
                </w:p>
              </w:tc>
            </w:tr>
          </w:tbl>
          <w:p w14:paraId="4666770A"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93F76F5" w14:textId="77777777">
              <w:tc>
                <w:tcPr>
                  <w:tcW w:w="0" w:type="auto"/>
                  <w:tcBorders>
                    <w:top w:val="single" w:sz="6" w:space="0" w:color="E6E6E6"/>
                    <w:left w:val="single" w:sz="6" w:space="0" w:color="E6E6E6"/>
                    <w:bottom w:val="single" w:sz="6" w:space="0" w:color="E6E6E6"/>
                    <w:right w:val="single" w:sz="6" w:space="0" w:color="E6E6E6"/>
                  </w:tcBorders>
                  <w:tcMar>
                    <w:top w:w="150" w:type="dxa"/>
                    <w:left w:w="270" w:type="dxa"/>
                    <w:bottom w:w="150"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4774C523"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63F19F2F" w14:textId="77777777" w:rsidR="00DF1E3F" w:rsidRDefault="00DF1E3F">
                        <w:pPr>
                          <w:rPr>
                            <w:rFonts w:ascii="Times" w:hAnsi="Times"/>
                            <w:color w:val="000000"/>
                            <w:sz w:val="27"/>
                            <w:szCs w:val="27"/>
                          </w:rPr>
                        </w:pPr>
                      </w:p>
                    </w:tc>
                  </w:tr>
                </w:tbl>
                <w:p w14:paraId="65BB9B3E" w14:textId="77777777" w:rsidR="00DF1E3F" w:rsidRDefault="00DF1E3F"/>
              </w:tc>
            </w:tr>
          </w:tbl>
          <w:p w14:paraId="42C38240"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7F34999C"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06812E27"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6168A4A5" w14:textId="77777777" w:rsidR="00DF1E3F" w:rsidRDefault="00DF1E3F">
                        <w:pPr>
                          <w:pStyle w:val="NormalWeb"/>
                          <w:spacing w:before="150" w:beforeAutospacing="0" w:after="150" w:afterAutospacing="0" w:line="360" w:lineRule="atLeast"/>
                          <w:jc w:val="both"/>
                          <w:rPr>
                            <w:rFonts w:ascii="Verdana" w:hAnsi="Verdana"/>
                            <w:color w:val="4C6AA2"/>
                          </w:rPr>
                        </w:pPr>
                        <w:r>
                          <w:rPr>
                            <w:rStyle w:val="Emphasis"/>
                            <w:rFonts w:ascii="Helvetica Neue" w:hAnsi="Helvetica Neue"/>
                            <w:color w:val="000000"/>
                            <w:sz w:val="17"/>
                            <w:szCs w:val="17"/>
                          </w:rPr>
                          <w:t>This column was written by Rebecca Wallwork. Rebecca is a fourth-year Bachelor of Arts/Laws student at the University of Sydney, with a major in Economics. She completed a six-month exchange to Peking University in 2025 and is a current Westpac Australia-Asia Fellow. </w:t>
                        </w:r>
                      </w:p>
                    </w:tc>
                  </w:tr>
                </w:tbl>
                <w:p w14:paraId="24D44A56" w14:textId="77777777" w:rsidR="00DF1E3F" w:rsidRDefault="00DF1E3F">
                  <w:pPr>
                    <w:rPr>
                      <w:rFonts w:ascii="Times New Roman" w:hAnsi="Times New Roman"/>
                    </w:rPr>
                  </w:pPr>
                </w:p>
              </w:tc>
            </w:tr>
          </w:tbl>
          <w:p w14:paraId="1FF5E3BE"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194FE37B"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180BC015"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372EC36B" w14:textId="77777777" w:rsidR="00DF1E3F" w:rsidRDefault="00DF1E3F">
                        <w:pPr>
                          <w:rPr>
                            <w:rFonts w:ascii="Times" w:hAnsi="Times"/>
                            <w:color w:val="000000"/>
                            <w:sz w:val="27"/>
                            <w:szCs w:val="27"/>
                          </w:rPr>
                        </w:pPr>
                      </w:p>
                    </w:tc>
                  </w:tr>
                </w:tbl>
                <w:p w14:paraId="15D4A1CD" w14:textId="77777777" w:rsidR="00DF1E3F" w:rsidRDefault="00DF1E3F"/>
              </w:tc>
            </w:tr>
          </w:tbl>
          <w:p w14:paraId="28D6AD64"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2B1D2FE6" w14:textId="77777777">
              <w:tc>
                <w:tcPr>
                  <w:tcW w:w="0" w:type="auto"/>
                  <w:tcBorders>
                    <w:top w:val="single" w:sz="6" w:space="0" w:color="E6E6E6"/>
                    <w:left w:val="single" w:sz="6" w:space="0" w:color="E6E6E6"/>
                    <w:bottom w:val="single" w:sz="6" w:space="0" w:color="E6E6E6"/>
                    <w:right w:val="single" w:sz="6" w:space="0" w:color="E6E6E6"/>
                  </w:tcBorders>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687"/>
                  </w:tblGrid>
                  <w:tr w:rsidR="00DF1E3F" w14:paraId="3640C18C" w14:textId="77777777">
                    <w:tc>
                      <w:tcPr>
                        <w:tcW w:w="0" w:type="auto"/>
                        <w:tcBorders>
                          <w:top w:val="single" w:sz="6" w:space="0" w:color="E6E6E6"/>
                          <w:left w:val="single" w:sz="6" w:space="0" w:color="E6E6E6"/>
                          <w:bottom w:val="single" w:sz="6" w:space="0" w:color="E6E6E6"/>
                          <w:right w:val="single" w:sz="6" w:space="0" w:color="E6E6E6"/>
                        </w:tcBorders>
                        <w:tcMar>
                          <w:top w:w="0" w:type="dxa"/>
                          <w:left w:w="135" w:type="dxa"/>
                          <w:bottom w:w="135" w:type="dxa"/>
                          <w:right w:w="135" w:type="dxa"/>
                        </w:tcMar>
                        <w:hideMark/>
                      </w:tcPr>
                      <w:p w14:paraId="4EC6A8A6" w14:textId="22123F6D" w:rsidR="00DF1E3F" w:rsidRDefault="00DF1E3F">
                        <w:pPr>
                          <w:jc w:val="center"/>
                          <w:rPr>
                            <w:rFonts w:ascii="Times New Roman" w:hAnsi="Times New Roman"/>
                          </w:rPr>
                        </w:pPr>
                        <w:r>
                          <w:rPr>
                            <w:noProof/>
                            <w:color w:val="464FEB"/>
                          </w:rPr>
                          <w:lastRenderedPageBreak/>
                          <w:drawing>
                            <wp:inline distT="0" distB="0" distL="0" distR="0" wp14:anchorId="2C87319D" wp14:editId="60F7C388">
                              <wp:extent cx="5727700" cy="3815715"/>
                              <wp:effectExtent l="0" t="0" r="0" b="0"/>
                              <wp:docPr id="1688422556" name="Picture 8">
                                <a:hlinkClick xmlns:a="http://schemas.openxmlformats.org/drawingml/2006/main" r:id="rId26"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26" tgtFrame="&quot;_blank&quot;" tooltip="&quot;&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3815715"/>
                                      </a:xfrm>
                                      <a:prstGeom prst="rect">
                                        <a:avLst/>
                                      </a:prstGeom>
                                      <a:noFill/>
                                      <a:ln>
                                        <a:noFill/>
                                      </a:ln>
                                    </pic:spPr>
                                  </pic:pic>
                                </a:graphicData>
                              </a:graphic>
                            </wp:inline>
                          </w:drawing>
                        </w:r>
                      </w:p>
                    </w:tc>
                  </w:tr>
                  <w:tr w:rsidR="00DF1E3F" w14:paraId="233A6CC7" w14:textId="77777777">
                    <w:tc>
                      <w:tcPr>
                        <w:tcW w:w="8445" w:type="dxa"/>
                        <w:tcBorders>
                          <w:top w:val="single" w:sz="6" w:space="0" w:color="E6E6E6"/>
                          <w:left w:val="single" w:sz="6" w:space="0" w:color="E6E6E6"/>
                          <w:bottom w:val="single" w:sz="6" w:space="0" w:color="E6E6E6"/>
                          <w:right w:val="single" w:sz="6" w:space="0" w:color="E6E6E6"/>
                        </w:tcBorders>
                        <w:tcMar>
                          <w:top w:w="0" w:type="dxa"/>
                          <w:left w:w="135" w:type="dxa"/>
                          <w:bottom w:w="0" w:type="dxa"/>
                          <w:right w:w="135" w:type="dxa"/>
                        </w:tcMar>
                        <w:hideMark/>
                      </w:tcPr>
                      <w:p w14:paraId="6D4DD825" w14:textId="77777777" w:rsidR="00DF1E3F" w:rsidRDefault="00DF1E3F">
                        <w:pPr>
                          <w:pStyle w:val="Heading1"/>
                          <w:spacing w:before="0" w:beforeAutospacing="0" w:after="0" w:afterAutospacing="0" w:line="488" w:lineRule="atLeast"/>
                          <w:rPr>
                            <w:rFonts w:ascii="Arial" w:hAnsi="Arial" w:cs="Arial"/>
                            <w:color w:val="4C6AA2"/>
                            <w:spacing w:val="-15"/>
                            <w:sz w:val="39"/>
                            <w:szCs w:val="39"/>
                          </w:rPr>
                        </w:pPr>
                        <w:hyperlink r:id="rId28" w:tgtFrame="_blank" w:history="1">
                          <w:r>
                            <w:rPr>
                              <w:rStyle w:val="Hyperlink"/>
                              <w:rFonts w:ascii="Helvetica Neue" w:hAnsi="Helvetica Neue" w:cs="Arial"/>
                              <w:color w:val="4C6AA2"/>
                              <w:spacing w:val="-15"/>
                              <w:sz w:val="30"/>
                              <w:szCs w:val="30"/>
                              <w:u w:val="none"/>
                            </w:rPr>
                            <w:t>Algorithms do not moderate themselves</w:t>
                          </w:r>
                        </w:hyperlink>
                      </w:p>
                      <w:p w14:paraId="5E69FDCC" w14:textId="77777777" w:rsidR="00DF1E3F" w:rsidRDefault="00DF1E3F">
                        <w:pPr>
                          <w:spacing w:line="360" w:lineRule="atLeast"/>
                          <w:rPr>
                            <w:rFonts w:ascii="Verdana" w:hAnsi="Verdana" w:cs="Times New Roman"/>
                            <w:color w:val="4C6AA2"/>
                          </w:rPr>
                        </w:pPr>
                        <w:r>
                          <w:rPr>
                            <w:rFonts w:ascii="Helvetica Neue" w:hAnsi="Helvetica Neue"/>
                            <w:color w:val="000000"/>
                            <w:sz w:val="18"/>
                            <w:szCs w:val="18"/>
                          </w:rPr>
                          <w:t>Nepal's Gen Z protests expose the volatile intersection of social media, highly reactive electoral content and limited moderation. Within days, a campaign that began on Reddit and Discord engulfed the parliament, Supreme Court and key ministries in an arson spree, forcing the resignation of Prime Minister K.P. Sharma Oli.</w:t>
                        </w:r>
                        <w:r>
                          <w:rPr>
                            <w:rFonts w:ascii="Helvetica Neue" w:hAnsi="Helvetica Neue"/>
                            <w:color w:val="000000"/>
                            <w:sz w:val="18"/>
                            <w:szCs w:val="18"/>
                          </w:rPr>
                          <w:br/>
                        </w:r>
                        <w:r>
                          <w:rPr>
                            <w:rFonts w:ascii="Helvetica Neue" w:hAnsi="Helvetica Neue"/>
                            <w:color w:val="000000"/>
                            <w:sz w:val="18"/>
                            <w:szCs w:val="18"/>
                          </w:rPr>
                          <w:br/>
                          <w:t>By opening up participation for groups typically absent from political life, digital platforms often have a democratising effect - but they can also lead to fragmentation and confrontation. Algorithms feed us personalised content harvested from social interactions, and in maximising engagement for advertising revenue, they feed off increased polarisation, misinformation and political volatility. </w:t>
                        </w:r>
                        <w:r>
                          <w:rPr>
                            <w:rFonts w:ascii="Helvetica Neue" w:hAnsi="Helvetica Neue"/>
                            <w:color w:val="000000"/>
                            <w:sz w:val="18"/>
                            <w:szCs w:val="18"/>
                          </w:rPr>
                          <w:br/>
                        </w:r>
                        <w:r>
                          <w:rPr>
                            <w:rFonts w:ascii="Helvetica Neue" w:hAnsi="Helvetica Neue"/>
                            <w:color w:val="000000"/>
                            <w:sz w:val="18"/>
                            <w:szCs w:val="18"/>
                          </w:rPr>
                          <w:br/>
                          <w:t xml:space="preserve">Social media is now a sphere of political engagement, and Darío García de </w:t>
                        </w:r>
                        <w:proofErr w:type="spellStart"/>
                        <w:r>
                          <w:rPr>
                            <w:rFonts w:ascii="Helvetica Neue" w:hAnsi="Helvetica Neue"/>
                            <w:color w:val="000000"/>
                            <w:sz w:val="18"/>
                            <w:szCs w:val="18"/>
                          </w:rPr>
                          <w:t>Viedma</w:t>
                        </w:r>
                        <w:proofErr w:type="spellEnd"/>
                        <w:r>
                          <w:rPr>
                            <w:rFonts w:ascii="Helvetica Neue" w:hAnsi="Helvetica Neue"/>
                            <w:color w:val="000000"/>
                            <w:sz w:val="18"/>
                            <w:szCs w:val="18"/>
                          </w:rPr>
                          <w:t xml:space="preserve"> of the Elcano Royal Institute </w:t>
                        </w:r>
                        <w:hyperlink r:id="rId29" w:tgtFrame="_blank" w:history="1">
                          <w:r>
                            <w:rPr>
                              <w:rStyle w:val="Hyperlink"/>
                              <w:rFonts w:ascii="Helvetica Neue" w:hAnsi="Helvetica Neue"/>
                              <w:b/>
                              <w:bCs/>
                              <w:color w:val="0000CD"/>
                              <w:sz w:val="18"/>
                              <w:szCs w:val="18"/>
                              <w:u w:val="none"/>
                            </w:rPr>
                            <w:t>argues</w:t>
                          </w:r>
                        </w:hyperlink>
                        <w:r>
                          <w:rPr>
                            <w:rFonts w:ascii="Helvetica Neue" w:hAnsi="Helvetica Neue"/>
                            <w:color w:val="0000CD"/>
                            <w:sz w:val="18"/>
                            <w:szCs w:val="18"/>
                          </w:rPr>
                          <w:t> </w:t>
                        </w:r>
                        <w:r>
                          <w:rPr>
                            <w:rFonts w:ascii="Helvetica Neue" w:hAnsi="Helvetica Neue"/>
                            <w:color w:val="000000"/>
                            <w:sz w:val="18"/>
                            <w:szCs w:val="18"/>
                          </w:rPr>
                          <w:t>it must be moderated as one. </w:t>
                        </w:r>
                        <w:r>
                          <w:rPr>
                            <w:rFonts w:ascii="Verdana" w:hAnsi="Verdana"/>
                            <w:color w:val="4C6AA2"/>
                          </w:rPr>
                          <w:t> </w:t>
                        </w:r>
                        <w:r>
                          <w:rPr>
                            <w:rFonts w:ascii="Helvetica Neue" w:hAnsi="Helvetica Neue"/>
                            <w:color w:val="000000"/>
                            <w:sz w:val="18"/>
                            <w:szCs w:val="18"/>
                          </w:rPr>
                          <w:t>Top-down content moderation fails to address the structural drivers of harmful content, often overlooking marginalised communities while concentrating editorial authority among unelected and unaccountable platform operators.</w:t>
                        </w:r>
                        <w:r>
                          <w:rPr>
                            <w:rFonts w:ascii="Verdana" w:hAnsi="Verdana"/>
                            <w:color w:val="4C6AA2"/>
                          </w:rPr>
                          <w:br/>
                        </w:r>
                        <w:r>
                          <w:rPr>
                            <w:rFonts w:ascii="Verdana" w:hAnsi="Verdana"/>
                            <w:color w:val="4C6AA2"/>
                          </w:rPr>
                          <w:br/>
                        </w:r>
                        <w:r>
                          <w:rPr>
                            <w:rFonts w:ascii="Helvetica Neue" w:hAnsi="Helvetica Neue"/>
                            <w:color w:val="000000"/>
                            <w:sz w:val="18"/>
                            <w:szCs w:val="18"/>
                          </w:rPr>
                          <w:t xml:space="preserve">García de </w:t>
                        </w:r>
                        <w:proofErr w:type="spellStart"/>
                        <w:r>
                          <w:rPr>
                            <w:rFonts w:ascii="Helvetica Neue" w:hAnsi="Helvetica Neue"/>
                            <w:color w:val="000000"/>
                            <w:sz w:val="18"/>
                            <w:szCs w:val="18"/>
                          </w:rPr>
                          <w:t>Viedma</w:t>
                        </w:r>
                        <w:proofErr w:type="spellEnd"/>
                        <w:r>
                          <w:rPr>
                            <w:rFonts w:ascii="Helvetica Neue" w:hAnsi="Helvetica Neue"/>
                            <w:color w:val="000000"/>
                            <w:sz w:val="18"/>
                            <w:szCs w:val="18"/>
                          </w:rPr>
                          <w:t xml:space="preserve"> proposes consensus-oriented platforms such as Prosocial Media, which rank content based on cross-community agreement and ensure minority perspectives are represented. The Nepali case illustrates the value of this approach: rather than amplifying division, it could have highlighted areas </w:t>
                        </w:r>
                        <w:r>
                          <w:rPr>
                            <w:rFonts w:ascii="Helvetica Neue" w:hAnsi="Helvetica Neue"/>
                            <w:color w:val="000000"/>
                            <w:sz w:val="18"/>
                            <w:szCs w:val="18"/>
                          </w:rPr>
                          <w:lastRenderedPageBreak/>
                          <w:t>of genuine consensus among protesters.</w:t>
                        </w:r>
                        <w:r>
                          <w:rPr>
                            <w:rFonts w:ascii="Verdana" w:hAnsi="Verdana"/>
                            <w:color w:val="4C6AA2"/>
                          </w:rPr>
                          <w:br/>
                        </w:r>
                        <w:r>
                          <w:rPr>
                            <w:rFonts w:ascii="Verdana" w:hAnsi="Verdana"/>
                            <w:color w:val="4C6AA2"/>
                          </w:rPr>
                          <w:br/>
                        </w:r>
                        <w:r>
                          <w:rPr>
                            <w:rFonts w:ascii="Helvetica Neue" w:hAnsi="Helvetica Neue"/>
                            <w:color w:val="000000"/>
                            <w:sz w:val="17"/>
                            <w:szCs w:val="17"/>
                          </w:rPr>
                          <w:t xml:space="preserve">Image credit: </w:t>
                        </w:r>
                        <w:proofErr w:type="spellStart"/>
                        <w:r>
                          <w:rPr>
                            <w:rFonts w:ascii="Kohinoor Devanagari" w:hAnsi="Kohinoor Devanagari" w:cs="Kohinoor Devanagari"/>
                            <w:color w:val="000000"/>
                            <w:sz w:val="17"/>
                            <w:szCs w:val="17"/>
                          </w:rPr>
                          <w:t>हिमाल</w:t>
                        </w:r>
                        <w:proofErr w:type="spellEnd"/>
                        <w:r>
                          <w:rPr>
                            <w:rFonts w:ascii="Helvetica Neue" w:hAnsi="Helvetica Neue"/>
                            <w:color w:val="000000"/>
                            <w:sz w:val="17"/>
                            <w:szCs w:val="17"/>
                          </w:rPr>
                          <w:t xml:space="preserve"> </w:t>
                        </w:r>
                        <w:proofErr w:type="spellStart"/>
                        <w:proofErr w:type="gramStart"/>
                        <w:r>
                          <w:rPr>
                            <w:rFonts w:ascii="Kohinoor Devanagari" w:hAnsi="Kohinoor Devanagari" w:cs="Kohinoor Devanagari"/>
                            <w:color w:val="000000"/>
                            <w:sz w:val="17"/>
                            <w:szCs w:val="17"/>
                          </w:rPr>
                          <w:t>सुवेदी</w:t>
                        </w:r>
                        <w:proofErr w:type="spellEnd"/>
                        <w:r>
                          <w:rPr>
                            <w:rFonts w:ascii="Helvetica Neue" w:hAnsi="Helvetica Neue"/>
                            <w:color w:val="000000"/>
                            <w:sz w:val="17"/>
                            <w:szCs w:val="17"/>
                          </w:rPr>
                          <w:t> ,</w:t>
                        </w:r>
                        <w:proofErr w:type="gramEnd"/>
                        <w:r>
                          <w:rPr>
                            <w:rFonts w:ascii="Helvetica Neue" w:hAnsi="Helvetica Neue"/>
                            <w:color w:val="000000"/>
                            <w:sz w:val="17"/>
                            <w:szCs w:val="17"/>
                          </w:rPr>
                          <w:t xml:space="preserve"> 2025 Nepalese Gen Z protesters </w:t>
                        </w:r>
                        <w:proofErr w:type="spellStart"/>
                        <w:r>
                          <w:rPr>
                            <w:rFonts w:ascii="Helvetica Neue" w:hAnsi="Helvetica Neue"/>
                            <w:color w:val="000000"/>
                            <w:sz w:val="17"/>
                            <w:szCs w:val="17"/>
                          </w:rPr>
                          <w:t>infront</w:t>
                        </w:r>
                        <w:proofErr w:type="spellEnd"/>
                        <w:r>
                          <w:rPr>
                            <w:rFonts w:ascii="Helvetica Neue" w:hAnsi="Helvetica Neue"/>
                            <w:color w:val="000000"/>
                            <w:sz w:val="17"/>
                            <w:szCs w:val="17"/>
                          </w:rPr>
                          <w:t xml:space="preserve"> of </w:t>
                        </w:r>
                        <w:proofErr w:type="spellStart"/>
                        <w:r>
                          <w:rPr>
                            <w:rFonts w:ascii="Helvetica Neue" w:hAnsi="Helvetica Neue"/>
                            <w:color w:val="000000"/>
                            <w:sz w:val="17"/>
                            <w:szCs w:val="17"/>
                          </w:rPr>
                          <w:t>Bharatpur</w:t>
                        </w:r>
                        <w:proofErr w:type="spellEnd"/>
                        <w:r>
                          <w:rPr>
                            <w:rFonts w:ascii="Helvetica Neue" w:hAnsi="Helvetica Neue"/>
                            <w:color w:val="000000"/>
                            <w:sz w:val="17"/>
                            <w:szCs w:val="17"/>
                          </w:rPr>
                          <w:t> </w:t>
                        </w:r>
                        <w:proofErr w:type="gramStart"/>
                        <w:r>
                          <w:rPr>
                            <w:rFonts w:ascii="Helvetica Neue" w:hAnsi="Helvetica Neue"/>
                            <w:color w:val="000000"/>
                            <w:sz w:val="17"/>
                            <w:szCs w:val="17"/>
                          </w:rPr>
                          <w:t>on</w:t>
                        </w:r>
                        <w:proofErr w:type="gramEnd"/>
                        <w:r>
                          <w:rPr>
                            <w:rFonts w:ascii="Helvetica Neue" w:hAnsi="Helvetica Neue"/>
                            <w:color w:val="000000"/>
                            <w:sz w:val="17"/>
                            <w:szCs w:val="17"/>
                          </w:rPr>
                          <w:t xml:space="preserve"> September 2025, via </w:t>
                        </w:r>
                        <w:hyperlink r:id="rId30" w:tgtFrame="_blank" w:history="1">
                          <w:r>
                            <w:rPr>
                              <w:rStyle w:val="Hyperlink"/>
                              <w:rFonts w:ascii="Helvetica Neue" w:hAnsi="Helvetica Neue"/>
                              <w:b/>
                              <w:bCs/>
                              <w:color w:val="000000"/>
                              <w:sz w:val="17"/>
                              <w:szCs w:val="17"/>
                              <w:u w:val="none"/>
                            </w:rPr>
                            <w:t>Wikimedia Commons</w:t>
                          </w:r>
                        </w:hyperlink>
                        <w:r>
                          <w:rPr>
                            <w:rFonts w:ascii="Helvetica Neue" w:hAnsi="Helvetica Neue"/>
                            <w:color w:val="000000"/>
                            <w:sz w:val="17"/>
                            <w:szCs w:val="17"/>
                          </w:rPr>
                          <w:t> </w:t>
                        </w:r>
                      </w:p>
                    </w:tc>
                  </w:tr>
                </w:tbl>
                <w:p w14:paraId="136BD6D4" w14:textId="77777777" w:rsidR="00DF1E3F" w:rsidRDefault="00DF1E3F">
                  <w:pPr>
                    <w:rPr>
                      <w:rFonts w:ascii="Times New Roman" w:hAnsi="Times New Roman"/>
                    </w:rPr>
                  </w:pPr>
                </w:p>
              </w:tc>
            </w:tr>
          </w:tbl>
          <w:p w14:paraId="19C35CD4"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5FE8EFE2"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2FF02A38"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76CCF56C" w14:textId="77777777" w:rsidR="00DF1E3F" w:rsidRDefault="00DF1E3F">
                        <w:pPr>
                          <w:rPr>
                            <w:rFonts w:ascii="Times" w:hAnsi="Times"/>
                            <w:color w:val="000000"/>
                            <w:sz w:val="27"/>
                            <w:szCs w:val="27"/>
                          </w:rPr>
                        </w:pPr>
                      </w:p>
                    </w:tc>
                  </w:tr>
                </w:tbl>
                <w:p w14:paraId="2B907518" w14:textId="77777777" w:rsidR="00DF1E3F" w:rsidRDefault="00DF1E3F"/>
              </w:tc>
            </w:tr>
          </w:tbl>
          <w:p w14:paraId="0647ACF6"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3981A5FA"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05435B76"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06C31683" w14:textId="77777777" w:rsidR="00DF1E3F" w:rsidRDefault="00DF1E3F">
                        <w:pPr>
                          <w:pStyle w:val="NormalWeb"/>
                          <w:spacing w:before="150" w:beforeAutospacing="0" w:after="150" w:afterAutospacing="0" w:line="360" w:lineRule="atLeast"/>
                          <w:jc w:val="both"/>
                          <w:rPr>
                            <w:rFonts w:ascii="Verdana" w:hAnsi="Verdana"/>
                            <w:color w:val="4C6AA2"/>
                          </w:rPr>
                        </w:pPr>
                        <w:r>
                          <w:rPr>
                            <w:rStyle w:val="Emphasis"/>
                            <w:rFonts w:ascii="Helvetica Neue" w:hAnsi="Helvetica Neue"/>
                            <w:color w:val="000000"/>
                            <w:sz w:val="17"/>
                            <w:szCs w:val="17"/>
                          </w:rPr>
                          <w:t>This column was written by Mia Conway. Mia is a fourth-year student completing a Bachelor of Social Sciences and a Diploma of Languages at the University of New South Wales. She currently researches for Protocol, a youth-led policy lab, in their technology and democracy team.</w:t>
                        </w:r>
                      </w:p>
                    </w:tc>
                  </w:tr>
                </w:tbl>
                <w:p w14:paraId="0418765E" w14:textId="77777777" w:rsidR="00DF1E3F" w:rsidRDefault="00DF1E3F">
                  <w:pPr>
                    <w:rPr>
                      <w:rFonts w:ascii="Times New Roman" w:hAnsi="Times New Roman"/>
                    </w:rPr>
                  </w:pPr>
                </w:p>
              </w:tc>
            </w:tr>
          </w:tbl>
          <w:p w14:paraId="3DC939A4"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2773E431"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20FB9D44"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6BB52FE7" w14:textId="77777777" w:rsidR="00DF1E3F" w:rsidRDefault="00DF1E3F">
                        <w:pPr>
                          <w:rPr>
                            <w:rFonts w:ascii="Times" w:hAnsi="Times"/>
                            <w:color w:val="000000"/>
                            <w:sz w:val="27"/>
                            <w:szCs w:val="27"/>
                          </w:rPr>
                        </w:pPr>
                      </w:p>
                    </w:tc>
                  </w:tr>
                </w:tbl>
                <w:p w14:paraId="6FCD0634" w14:textId="77777777" w:rsidR="00DF1E3F" w:rsidRDefault="00DF1E3F"/>
              </w:tc>
            </w:tr>
          </w:tbl>
          <w:p w14:paraId="2405E379"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763C8ED3" w14:textId="77777777">
              <w:tc>
                <w:tcPr>
                  <w:tcW w:w="0" w:type="auto"/>
                  <w:tcBorders>
                    <w:top w:val="single" w:sz="6" w:space="0" w:color="E6E6E6"/>
                    <w:left w:val="single" w:sz="6" w:space="0" w:color="E6E6E6"/>
                    <w:bottom w:val="single" w:sz="6" w:space="0" w:color="E6E6E6"/>
                    <w:right w:val="single" w:sz="6" w:space="0" w:color="E6E6E6"/>
                  </w:tcBorders>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0D844554" w14:textId="77777777">
                    <w:tc>
                      <w:tcPr>
                        <w:tcW w:w="0" w:type="auto"/>
                        <w:tcBorders>
                          <w:top w:val="single" w:sz="6" w:space="0" w:color="E6E6E6"/>
                          <w:left w:val="single" w:sz="6" w:space="0" w:color="E6E6E6"/>
                          <w:bottom w:val="single" w:sz="6" w:space="0" w:color="E6E6E6"/>
                          <w:right w:val="single" w:sz="6" w:space="0" w:color="E6E6E6"/>
                        </w:tcBorders>
                        <w:tcMar>
                          <w:top w:w="135" w:type="dxa"/>
                          <w:left w:w="270" w:type="dxa"/>
                          <w:bottom w:w="135" w:type="dxa"/>
                          <w:right w:w="270" w:type="dxa"/>
                        </w:tcMar>
                        <w:vAlign w:val="center"/>
                        <w:hideMark/>
                      </w:tcPr>
                      <w:tbl>
                        <w:tblPr>
                          <w:tblW w:w="5000" w:type="pct"/>
                          <w:shd w:val="clear" w:color="auto" w:fill="4B6AA2"/>
                          <w:tblCellMar>
                            <w:top w:w="15" w:type="dxa"/>
                            <w:left w:w="15" w:type="dxa"/>
                            <w:bottom w:w="15" w:type="dxa"/>
                            <w:right w:w="15" w:type="dxa"/>
                          </w:tblCellMar>
                          <w:tblLook w:val="04A0" w:firstRow="1" w:lastRow="0" w:firstColumn="1" w:lastColumn="0" w:noHBand="0" w:noVBand="1"/>
                        </w:tblPr>
                        <w:tblGrid>
                          <w:gridCol w:w="8386"/>
                        </w:tblGrid>
                        <w:tr w:rsidR="00DF1E3F" w14:paraId="0CA87080" w14:textId="77777777">
                          <w:tc>
                            <w:tcPr>
                              <w:tcW w:w="0" w:type="auto"/>
                              <w:tcBorders>
                                <w:top w:val="single" w:sz="6" w:space="0" w:color="E6E6E6"/>
                                <w:left w:val="single" w:sz="6" w:space="0" w:color="E6E6E6"/>
                                <w:bottom w:val="single" w:sz="6" w:space="0" w:color="E6E6E6"/>
                                <w:right w:val="single" w:sz="6" w:space="0" w:color="E6E6E6"/>
                              </w:tcBorders>
                              <w:shd w:val="clear" w:color="auto" w:fill="4B6AA2"/>
                              <w:tcMar>
                                <w:top w:w="270" w:type="dxa"/>
                                <w:left w:w="270" w:type="dxa"/>
                                <w:bottom w:w="270" w:type="dxa"/>
                                <w:right w:w="270" w:type="dxa"/>
                              </w:tcMar>
                              <w:hideMark/>
                            </w:tcPr>
                            <w:p w14:paraId="10F4713A" w14:textId="77777777" w:rsidR="00DF1E3F" w:rsidRDefault="00DF1E3F">
                              <w:pPr>
                                <w:spacing w:line="315" w:lineRule="atLeast"/>
                                <w:jc w:val="center"/>
                                <w:rPr>
                                  <w:rFonts w:ascii="Helvetica" w:hAnsi="Helvetica"/>
                                  <w:color w:val="F2F2F2"/>
                                  <w:sz w:val="21"/>
                                  <w:szCs w:val="21"/>
                                </w:rPr>
                              </w:pPr>
                              <w:r>
                                <w:rPr>
                                  <w:rStyle w:val="Strong"/>
                                  <w:rFonts w:ascii="Helvetica Neue" w:hAnsi="Helvetica Neue"/>
                                  <w:color w:val="F2F2F2"/>
                                  <w:sz w:val="36"/>
                                  <w:szCs w:val="36"/>
                                </w:rPr>
                                <w:t>What else we're reading</w:t>
                              </w:r>
                            </w:p>
                          </w:tc>
                        </w:tr>
                      </w:tbl>
                      <w:p w14:paraId="34F09B58" w14:textId="77777777" w:rsidR="00DF1E3F" w:rsidRDefault="00DF1E3F">
                        <w:pPr>
                          <w:rPr>
                            <w:rFonts w:ascii="Times New Roman" w:hAnsi="Times New Roman"/>
                          </w:rPr>
                        </w:pPr>
                      </w:p>
                    </w:tc>
                  </w:tr>
                </w:tbl>
                <w:p w14:paraId="2664707F" w14:textId="77777777" w:rsidR="00DF1E3F" w:rsidRDefault="00DF1E3F"/>
              </w:tc>
            </w:tr>
          </w:tbl>
          <w:p w14:paraId="0C403AED"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2683A343"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702D5725"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17215CC2" w14:textId="77777777" w:rsidR="00DF1E3F" w:rsidRDefault="00DF1E3F">
                        <w:pPr>
                          <w:spacing w:line="360" w:lineRule="atLeast"/>
                          <w:rPr>
                            <w:rFonts w:ascii="Verdana" w:hAnsi="Verdana"/>
                            <w:color w:val="000000"/>
                          </w:rPr>
                        </w:pPr>
                        <w:r>
                          <w:rPr>
                            <w:rFonts w:ascii="Verdana" w:hAnsi="Verdana"/>
                            <w:color w:val="000000"/>
                          </w:rPr>
                          <w:t> </w:t>
                        </w:r>
                      </w:p>
                      <w:p w14:paraId="75F03CF7" w14:textId="77777777" w:rsidR="00DF1E3F" w:rsidRDefault="00DF1E3F" w:rsidP="00DF1E3F">
                        <w:pPr>
                          <w:numPr>
                            <w:ilvl w:val="0"/>
                            <w:numId w:val="30"/>
                          </w:numPr>
                          <w:spacing w:before="100" w:beforeAutospacing="1" w:after="75" w:line="360" w:lineRule="atLeast"/>
                          <w:rPr>
                            <w:rFonts w:ascii="Verdana" w:hAnsi="Verdana"/>
                            <w:color w:val="000000"/>
                          </w:rPr>
                        </w:pPr>
                        <w:r>
                          <w:rPr>
                            <w:rFonts w:ascii="Helvetica Neue" w:hAnsi="Helvetica Neue"/>
                            <w:color w:val="000000"/>
                            <w:sz w:val="18"/>
                            <w:szCs w:val="18"/>
                          </w:rPr>
                          <w:t>Writing in </w:t>
                        </w:r>
                        <w:r>
                          <w:rPr>
                            <w:rStyle w:val="Emphasis"/>
                            <w:rFonts w:ascii="Helvetica Neue" w:hAnsi="Helvetica Neue"/>
                            <w:color w:val="000000"/>
                            <w:sz w:val="18"/>
                            <w:szCs w:val="18"/>
                          </w:rPr>
                          <w:t>The Conversation</w:t>
                        </w:r>
                        <w:r>
                          <w:rPr>
                            <w:rFonts w:ascii="Helvetica Neue" w:hAnsi="Helvetica Neue"/>
                            <w:color w:val="000000"/>
                            <w:sz w:val="18"/>
                            <w:szCs w:val="18"/>
                          </w:rPr>
                          <w:t>, Chad Hewitt, Gregory Ruiz, Ian Davidson and Mario Tamburri </w:t>
                        </w:r>
                        <w:hyperlink r:id="rId31" w:tgtFrame="_blank" w:history="1">
                          <w:r>
                            <w:rPr>
                              <w:rStyle w:val="Hyperlink"/>
                              <w:rFonts w:ascii="Helvetica Neue" w:hAnsi="Helvetica Neue"/>
                              <w:b/>
                              <w:bCs/>
                              <w:color w:val="4C6AA2"/>
                              <w:sz w:val="18"/>
                              <w:szCs w:val="18"/>
                              <w:u w:val="none"/>
                            </w:rPr>
                            <w:t>examine</w:t>
                          </w:r>
                        </w:hyperlink>
                        <w:r>
                          <w:rPr>
                            <w:rFonts w:ascii="Helvetica Neue" w:hAnsi="Helvetica Neue"/>
                            <w:color w:val="000000"/>
                            <w:sz w:val="18"/>
                            <w:szCs w:val="18"/>
                          </w:rPr>
                          <w:t> the overlooked risks of ecological damage emerging from the hulls of ships laid up in the Persian/Arabian Gulf, when the Strait of Hormuz reopens.</w:t>
                        </w:r>
                      </w:p>
                      <w:p w14:paraId="1C5FBC4E" w14:textId="77777777" w:rsidR="00DF1E3F" w:rsidRDefault="00DF1E3F" w:rsidP="00DF1E3F">
                        <w:pPr>
                          <w:numPr>
                            <w:ilvl w:val="0"/>
                            <w:numId w:val="30"/>
                          </w:numPr>
                          <w:spacing w:before="100" w:beforeAutospacing="1" w:after="75" w:line="360" w:lineRule="atLeast"/>
                          <w:rPr>
                            <w:rFonts w:ascii="Verdana" w:hAnsi="Verdana"/>
                            <w:color w:val="000000"/>
                          </w:rPr>
                        </w:pPr>
                        <w:r>
                          <w:rPr>
                            <w:rFonts w:ascii="Helvetica Neue" w:hAnsi="Helvetica Neue"/>
                            <w:color w:val="000000"/>
                            <w:sz w:val="18"/>
                            <w:szCs w:val="18"/>
                          </w:rPr>
                          <w:t>Arwa Mahdawi in </w:t>
                        </w:r>
                        <w:r>
                          <w:rPr>
                            <w:rStyle w:val="Emphasis"/>
                            <w:rFonts w:ascii="Helvetica Neue" w:hAnsi="Helvetica Neue"/>
                            <w:color w:val="000000"/>
                            <w:sz w:val="18"/>
                            <w:szCs w:val="18"/>
                          </w:rPr>
                          <w:t>The Guardian </w:t>
                        </w:r>
                        <w:hyperlink r:id="rId32" w:tgtFrame="_blank" w:history="1">
                          <w:r>
                            <w:rPr>
                              <w:rStyle w:val="Hyperlink"/>
                              <w:rFonts w:ascii="Helvetica Neue" w:hAnsi="Helvetica Neue"/>
                              <w:b/>
                              <w:bCs/>
                              <w:color w:val="4C6AA2"/>
                              <w:sz w:val="18"/>
                              <w:szCs w:val="18"/>
                              <w:u w:val="none"/>
                            </w:rPr>
                            <w:t>criticises</w:t>
                          </w:r>
                        </w:hyperlink>
                        <w:r>
                          <w:rPr>
                            <w:rFonts w:ascii="Helvetica Neue" w:hAnsi="Helvetica Neue"/>
                            <w:color w:val="000000"/>
                            <w:sz w:val="18"/>
                            <w:szCs w:val="18"/>
                          </w:rPr>
                          <w:t> new Centres for Disease Control and Prevention (CDC) director Dr Erica Schwartz's recent comments on abortion, as politicisation of US public health institutions increases.</w:t>
                        </w:r>
                      </w:p>
                      <w:p w14:paraId="1FC7B775" w14:textId="77777777" w:rsidR="00DF1E3F" w:rsidRDefault="00DF1E3F" w:rsidP="00DF1E3F">
                        <w:pPr>
                          <w:numPr>
                            <w:ilvl w:val="0"/>
                            <w:numId w:val="30"/>
                          </w:numPr>
                          <w:spacing w:before="100" w:beforeAutospacing="1" w:after="75" w:line="360" w:lineRule="atLeast"/>
                          <w:rPr>
                            <w:rFonts w:ascii="Verdana" w:hAnsi="Verdana"/>
                            <w:color w:val="000000"/>
                          </w:rPr>
                        </w:pPr>
                        <w:r>
                          <w:rPr>
                            <w:rFonts w:ascii="Helvetica Neue" w:hAnsi="Helvetica Neue"/>
                            <w:color w:val="000000"/>
                            <w:sz w:val="18"/>
                            <w:szCs w:val="18"/>
                          </w:rPr>
                          <w:t>In </w:t>
                        </w:r>
                        <w:r>
                          <w:rPr>
                            <w:rStyle w:val="Emphasis"/>
                            <w:rFonts w:ascii="Helvetica Neue" w:hAnsi="Helvetica Neue"/>
                            <w:color w:val="000000"/>
                            <w:sz w:val="18"/>
                            <w:szCs w:val="18"/>
                          </w:rPr>
                          <w:t>The Guardian</w:t>
                        </w:r>
                        <w:r>
                          <w:rPr>
                            <w:rFonts w:ascii="Helvetica Neue" w:hAnsi="Helvetica Neue"/>
                            <w:color w:val="000000"/>
                            <w:sz w:val="18"/>
                            <w:szCs w:val="18"/>
                          </w:rPr>
                          <w:t>, Agence France-Presse </w:t>
                        </w:r>
                        <w:hyperlink r:id="rId33" w:tgtFrame="_blank" w:history="1">
                          <w:r>
                            <w:rPr>
                              <w:rStyle w:val="Hyperlink"/>
                              <w:rFonts w:ascii="Helvetica Neue" w:hAnsi="Helvetica Neue"/>
                              <w:b/>
                              <w:bCs/>
                              <w:color w:val="4C6AA2"/>
                              <w:sz w:val="18"/>
                              <w:szCs w:val="18"/>
                              <w:u w:val="none"/>
                            </w:rPr>
                            <w:t>reports</w:t>
                          </w:r>
                        </w:hyperlink>
                        <w:r>
                          <w:rPr>
                            <w:rFonts w:ascii="Helvetica Neue" w:hAnsi="Helvetica Neue"/>
                            <w:color w:val="000000"/>
                            <w:sz w:val="18"/>
                            <w:szCs w:val="18"/>
                          </w:rPr>
                          <w:t> that Spanish hotel group Meliá will cease all operations in Cuba, citing US sanctions under Donald Trump that have made conditions “impossible".</w:t>
                        </w:r>
                      </w:p>
                      <w:p w14:paraId="4BD5C30B" w14:textId="77777777" w:rsidR="00DF1E3F" w:rsidRDefault="00DF1E3F" w:rsidP="00DF1E3F">
                        <w:pPr>
                          <w:numPr>
                            <w:ilvl w:val="0"/>
                            <w:numId w:val="30"/>
                          </w:numPr>
                          <w:spacing w:before="100" w:beforeAutospacing="1" w:after="75" w:line="360" w:lineRule="atLeast"/>
                          <w:rPr>
                            <w:rFonts w:ascii="Verdana" w:hAnsi="Verdana"/>
                            <w:color w:val="000000"/>
                          </w:rPr>
                        </w:pPr>
                        <w:r>
                          <w:rPr>
                            <w:rFonts w:ascii="Helvetica Neue" w:hAnsi="Helvetica Neue"/>
                            <w:color w:val="000000"/>
                            <w:sz w:val="18"/>
                            <w:szCs w:val="18"/>
                          </w:rPr>
                          <w:t>Michael Bustamante and Ricardo Zuniga in </w:t>
                        </w:r>
                        <w:r>
                          <w:rPr>
                            <w:rStyle w:val="Emphasis"/>
                            <w:rFonts w:ascii="Helvetica Neue" w:hAnsi="Helvetica Neue"/>
                            <w:color w:val="000000"/>
                            <w:sz w:val="18"/>
                            <w:szCs w:val="18"/>
                          </w:rPr>
                          <w:t>Foreign Affairs</w:t>
                        </w:r>
                        <w:r>
                          <w:rPr>
                            <w:rFonts w:ascii="Helvetica Neue" w:hAnsi="Helvetica Neue"/>
                            <w:color w:val="000000"/>
                            <w:sz w:val="18"/>
                            <w:szCs w:val="18"/>
                          </w:rPr>
                          <w:t> </w:t>
                        </w:r>
                        <w:hyperlink r:id="rId34" w:tgtFrame="_blank" w:history="1">
                          <w:r>
                            <w:rPr>
                              <w:rStyle w:val="Hyperlink"/>
                              <w:rFonts w:ascii="Helvetica Neue" w:hAnsi="Helvetica Neue"/>
                              <w:b/>
                              <w:bCs/>
                              <w:color w:val="4C6AA2"/>
                              <w:sz w:val="18"/>
                              <w:szCs w:val="18"/>
                              <w:u w:val="none"/>
                            </w:rPr>
                            <w:t>weigh up</w:t>
                          </w:r>
                        </w:hyperlink>
                        <w:r>
                          <w:rPr>
                            <w:rFonts w:ascii="Helvetica Neue" w:hAnsi="Helvetica Neue"/>
                            <w:color w:val="000000"/>
                            <w:sz w:val="18"/>
                            <w:szCs w:val="18"/>
                          </w:rPr>
                          <w:t xml:space="preserve"> how far Donald Trump would go to have "the </w:t>
                        </w:r>
                        <w:proofErr w:type="spellStart"/>
                        <w:r>
                          <w:rPr>
                            <w:rFonts w:ascii="Helvetica Neue" w:hAnsi="Helvetica Neue"/>
                            <w:color w:val="000000"/>
                            <w:sz w:val="18"/>
                            <w:szCs w:val="18"/>
                          </w:rPr>
                          <w:t>honor</w:t>
                        </w:r>
                        <w:proofErr w:type="spellEnd"/>
                        <w:r>
                          <w:rPr>
                            <w:rFonts w:ascii="Helvetica Neue" w:hAnsi="Helvetica Neue"/>
                            <w:color w:val="000000"/>
                            <w:sz w:val="18"/>
                            <w:szCs w:val="18"/>
                          </w:rPr>
                          <w:t xml:space="preserve"> of taking Cuba", reading his interventions in Venezuela and Iran as warning signs.</w:t>
                        </w:r>
                      </w:p>
                      <w:p w14:paraId="62A85808" w14:textId="77777777" w:rsidR="00DF1E3F" w:rsidRDefault="00DF1E3F" w:rsidP="00DF1E3F">
                        <w:pPr>
                          <w:numPr>
                            <w:ilvl w:val="0"/>
                            <w:numId w:val="30"/>
                          </w:numPr>
                          <w:spacing w:before="100" w:beforeAutospacing="1" w:after="75" w:line="360" w:lineRule="atLeast"/>
                          <w:rPr>
                            <w:rFonts w:ascii="Verdana" w:hAnsi="Verdana"/>
                            <w:color w:val="000000"/>
                          </w:rPr>
                        </w:pPr>
                        <w:r>
                          <w:rPr>
                            <w:rFonts w:ascii="Helvetica Neue" w:hAnsi="Helvetica Neue"/>
                            <w:color w:val="000000"/>
                            <w:sz w:val="18"/>
                            <w:szCs w:val="18"/>
                          </w:rPr>
                          <w:t>On the </w:t>
                        </w:r>
                        <w:r>
                          <w:rPr>
                            <w:rStyle w:val="Emphasis"/>
                            <w:rFonts w:ascii="Helvetica Neue" w:hAnsi="Helvetica Neue"/>
                            <w:color w:val="000000"/>
                            <w:sz w:val="18"/>
                            <w:szCs w:val="18"/>
                          </w:rPr>
                          <w:t>Lever Time </w:t>
                        </w:r>
                        <w:r>
                          <w:rPr>
                            <w:rFonts w:ascii="Helvetica Neue" w:hAnsi="Helvetica Neue"/>
                            <w:color w:val="000000"/>
                            <w:sz w:val="18"/>
                            <w:szCs w:val="18"/>
                          </w:rPr>
                          <w:t>podcast, Natalie Bettendorf </w:t>
                        </w:r>
                        <w:hyperlink r:id="rId35" w:tgtFrame="_blank" w:history="1">
                          <w:r>
                            <w:rPr>
                              <w:rStyle w:val="Hyperlink"/>
                              <w:rFonts w:ascii="Helvetica Neue" w:hAnsi="Helvetica Neue"/>
                              <w:b/>
                              <w:bCs/>
                              <w:color w:val="4C6AA2"/>
                              <w:sz w:val="18"/>
                              <w:szCs w:val="18"/>
                              <w:u w:val="none"/>
                            </w:rPr>
                            <w:t>speaks</w:t>
                          </w:r>
                        </w:hyperlink>
                        <w:r>
                          <w:rPr>
                            <w:rFonts w:ascii="Helvetica Neue" w:hAnsi="Helvetica Neue"/>
                            <w:color w:val="000000"/>
                            <w:sz w:val="18"/>
                            <w:szCs w:val="18"/>
                          </w:rPr>
                          <w:t> with David Dayen, executive editor of The American Prospect, about Abdul El-Sayed’s landmark win in Michigan, the must-watch primary races ahead, and the bizarre new landscape of political campaigns.</w:t>
                        </w:r>
                      </w:p>
                      <w:p w14:paraId="6F461F58" w14:textId="77777777" w:rsidR="00DF1E3F" w:rsidRDefault="00DF1E3F" w:rsidP="00DF1E3F">
                        <w:pPr>
                          <w:numPr>
                            <w:ilvl w:val="0"/>
                            <w:numId w:val="30"/>
                          </w:numPr>
                          <w:spacing w:before="100" w:beforeAutospacing="1" w:after="75" w:line="360" w:lineRule="atLeast"/>
                          <w:rPr>
                            <w:rFonts w:ascii="Verdana" w:hAnsi="Verdana"/>
                            <w:color w:val="000000"/>
                          </w:rPr>
                        </w:pPr>
                        <w:r>
                          <w:rPr>
                            <w:rStyle w:val="Emphasis"/>
                            <w:rFonts w:ascii="Helvetica Neue" w:hAnsi="Helvetica Neue"/>
                            <w:color w:val="000000"/>
                            <w:sz w:val="18"/>
                            <w:szCs w:val="18"/>
                          </w:rPr>
                          <w:t>Associated Press </w:t>
                        </w:r>
                        <w:r>
                          <w:rPr>
                            <w:rFonts w:ascii="Helvetica Neue" w:hAnsi="Helvetica Neue"/>
                            <w:color w:val="000000"/>
                            <w:sz w:val="18"/>
                            <w:szCs w:val="18"/>
                          </w:rPr>
                          <w:t>reports that the Syrian Foreign Ministry has </w:t>
                        </w:r>
                        <w:hyperlink r:id="rId36" w:tgtFrame="_blank" w:history="1">
                          <w:r>
                            <w:rPr>
                              <w:rStyle w:val="Hyperlink"/>
                              <w:rFonts w:ascii="Helvetica Neue" w:hAnsi="Helvetica Neue"/>
                              <w:b/>
                              <w:bCs/>
                              <w:color w:val="4C6AA2"/>
                              <w:sz w:val="18"/>
                              <w:szCs w:val="18"/>
                              <w:u w:val="none"/>
                            </w:rPr>
                            <w:t>state</w:t>
                          </w:r>
                        </w:hyperlink>
                        <w:hyperlink r:id="rId37" w:tgtFrame="_blank" w:history="1">
                          <w:r>
                            <w:rPr>
                              <w:rStyle w:val="Hyperlink"/>
                              <w:rFonts w:ascii="Helvetica Neue" w:hAnsi="Helvetica Neue"/>
                              <w:b/>
                              <w:bCs/>
                              <w:color w:val="4C6AA2"/>
                              <w:sz w:val="18"/>
                              <w:szCs w:val="18"/>
                              <w:u w:val="none"/>
                            </w:rPr>
                            <w:t>d</w:t>
                          </w:r>
                        </w:hyperlink>
                        <w:r>
                          <w:rPr>
                            <w:rFonts w:ascii="Helvetica Neue" w:hAnsi="Helvetica Neue"/>
                            <w:color w:val="000000"/>
                            <w:sz w:val="18"/>
                            <w:szCs w:val="18"/>
                          </w:rPr>
                          <w:t xml:space="preserve"> that Russia will relinquish control of the </w:t>
                        </w:r>
                        <w:proofErr w:type="spellStart"/>
                        <w:r>
                          <w:rPr>
                            <w:rFonts w:ascii="Helvetica Neue" w:hAnsi="Helvetica Neue"/>
                            <w:color w:val="000000"/>
                            <w:sz w:val="18"/>
                            <w:szCs w:val="18"/>
                          </w:rPr>
                          <w:t>Hmeimem</w:t>
                        </w:r>
                        <w:proofErr w:type="spellEnd"/>
                        <w:r>
                          <w:rPr>
                            <w:rFonts w:ascii="Helvetica Neue" w:hAnsi="Helvetica Neue"/>
                            <w:color w:val="000000"/>
                            <w:sz w:val="18"/>
                            <w:szCs w:val="18"/>
                          </w:rPr>
                          <w:t xml:space="preserve"> air base and the commercial berth at Tartus port, with the sites becoming joint Russian-Syrian training centres under a new agreement. </w:t>
                        </w:r>
                      </w:p>
                    </w:tc>
                  </w:tr>
                </w:tbl>
                <w:p w14:paraId="1675211A" w14:textId="77777777" w:rsidR="00DF1E3F" w:rsidRDefault="00DF1E3F">
                  <w:pPr>
                    <w:rPr>
                      <w:rFonts w:ascii="Times New Roman" w:hAnsi="Times New Roman"/>
                    </w:rPr>
                  </w:pPr>
                </w:p>
              </w:tc>
            </w:tr>
          </w:tbl>
          <w:p w14:paraId="231AF963"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50C995D6" w14:textId="77777777">
              <w:tc>
                <w:tcPr>
                  <w:tcW w:w="0" w:type="auto"/>
                  <w:tcBorders>
                    <w:top w:val="single" w:sz="6" w:space="0" w:color="E6E6E6"/>
                    <w:left w:val="single" w:sz="6" w:space="0" w:color="E6E6E6"/>
                    <w:bottom w:val="single" w:sz="6" w:space="0" w:color="E6E6E6"/>
                    <w:right w:val="single" w:sz="6" w:space="0" w:color="E6E6E6"/>
                  </w:tcBorders>
                  <w:tcMar>
                    <w:top w:w="150" w:type="dxa"/>
                    <w:left w:w="270" w:type="dxa"/>
                    <w:bottom w:w="150" w:type="dxa"/>
                    <w:right w:w="270" w:type="dxa"/>
                  </w:tcMar>
                  <w:vAlign w:val="center"/>
                  <w:hideMark/>
                </w:tcPr>
                <w:tbl>
                  <w:tblPr>
                    <w:tblW w:w="5000" w:type="pct"/>
                    <w:tblBorders>
                      <w:top w:val="single" w:sz="24" w:space="0" w:color="4B6AA2"/>
                    </w:tblBorders>
                    <w:tblCellMar>
                      <w:left w:w="0" w:type="dxa"/>
                      <w:right w:w="0" w:type="dxa"/>
                    </w:tblCellMar>
                    <w:tblLook w:val="04A0" w:firstRow="1" w:lastRow="0" w:firstColumn="1" w:lastColumn="0" w:noHBand="0" w:noVBand="1"/>
                  </w:tblPr>
                  <w:tblGrid>
                    <w:gridCol w:w="8417"/>
                  </w:tblGrid>
                  <w:tr w:rsidR="00DF1E3F" w14:paraId="50734D4D"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5CDE1FB5" w14:textId="77777777" w:rsidR="00DF1E3F" w:rsidRDefault="00DF1E3F">
                        <w:pPr>
                          <w:rPr>
                            <w:rFonts w:ascii="Times" w:hAnsi="Times"/>
                            <w:color w:val="000000"/>
                            <w:sz w:val="27"/>
                            <w:szCs w:val="27"/>
                          </w:rPr>
                        </w:pPr>
                      </w:p>
                    </w:tc>
                  </w:tr>
                </w:tbl>
                <w:p w14:paraId="7269680C" w14:textId="77777777" w:rsidR="00DF1E3F" w:rsidRDefault="00DF1E3F"/>
              </w:tc>
            </w:tr>
          </w:tbl>
          <w:p w14:paraId="608607C9"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035F28C9" w14:textId="77777777">
              <w:tc>
                <w:tcPr>
                  <w:tcW w:w="0" w:type="auto"/>
                  <w:tcBorders>
                    <w:top w:val="single" w:sz="6" w:space="0" w:color="E6E6E6"/>
                    <w:left w:val="single" w:sz="6" w:space="0" w:color="E6E6E6"/>
                    <w:bottom w:val="single" w:sz="6" w:space="0" w:color="E6E6E6"/>
                    <w:right w:val="single" w:sz="6" w:space="0" w:color="E6E6E6"/>
                  </w:tcBorders>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09BEAFBB" w14:textId="77777777">
                    <w:tc>
                      <w:tcPr>
                        <w:tcW w:w="0" w:type="auto"/>
                        <w:tcBorders>
                          <w:top w:val="single" w:sz="6" w:space="0" w:color="E6E6E6"/>
                          <w:left w:val="single" w:sz="6" w:space="0" w:color="E6E6E6"/>
                          <w:bottom w:val="single" w:sz="6" w:space="0" w:color="E6E6E6"/>
                          <w:right w:val="single" w:sz="6" w:space="0" w:color="E6E6E6"/>
                        </w:tcBorders>
                        <w:tcMar>
                          <w:top w:w="135" w:type="dxa"/>
                          <w:left w:w="270" w:type="dxa"/>
                          <w:bottom w:w="135" w:type="dxa"/>
                          <w:right w:w="270" w:type="dxa"/>
                        </w:tcMar>
                        <w:vAlign w:val="center"/>
                        <w:hideMark/>
                      </w:tcPr>
                      <w:tbl>
                        <w:tblPr>
                          <w:tblW w:w="5000" w:type="pct"/>
                          <w:shd w:val="clear" w:color="auto" w:fill="4B6AA2"/>
                          <w:tblCellMar>
                            <w:top w:w="15" w:type="dxa"/>
                            <w:left w:w="15" w:type="dxa"/>
                            <w:bottom w:w="15" w:type="dxa"/>
                            <w:right w:w="15" w:type="dxa"/>
                          </w:tblCellMar>
                          <w:tblLook w:val="04A0" w:firstRow="1" w:lastRow="0" w:firstColumn="1" w:lastColumn="0" w:noHBand="0" w:noVBand="1"/>
                        </w:tblPr>
                        <w:tblGrid>
                          <w:gridCol w:w="8386"/>
                        </w:tblGrid>
                        <w:tr w:rsidR="00DF1E3F" w14:paraId="50EEF5DC" w14:textId="77777777">
                          <w:tc>
                            <w:tcPr>
                              <w:tcW w:w="0" w:type="auto"/>
                              <w:tcBorders>
                                <w:top w:val="single" w:sz="6" w:space="0" w:color="E6E6E6"/>
                                <w:left w:val="single" w:sz="6" w:space="0" w:color="E6E6E6"/>
                                <w:bottom w:val="single" w:sz="6" w:space="0" w:color="E6E6E6"/>
                                <w:right w:val="single" w:sz="6" w:space="0" w:color="E6E6E6"/>
                              </w:tcBorders>
                              <w:shd w:val="clear" w:color="auto" w:fill="4B6AA2"/>
                              <w:tcMar>
                                <w:top w:w="270" w:type="dxa"/>
                                <w:left w:w="270" w:type="dxa"/>
                                <w:bottom w:w="270" w:type="dxa"/>
                                <w:right w:w="270" w:type="dxa"/>
                              </w:tcMar>
                              <w:hideMark/>
                            </w:tcPr>
                            <w:p w14:paraId="10E58A15" w14:textId="77777777" w:rsidR="00DF1E3F" w:rsidRDefault="00DF1E3F">
                              <w:pPr>
                                <w:spacing w:line="315" w:lineRule="atLeast"/>
                                <w:jc w:val="center"/>
                                <w:rPr>
                                  <w:rFonts w:ascii="Helvetica" w:hAnsi="Helvetica"/>
                                  <w:color w:val="F2F2F2"/>
                                  <w:sz w:val="21"/>
                                  <w:szCs w:val="21"/>
                                </w:rPr>
                              </w:pPr>
                              <w:r>
                                <w:rPr>
                                  <w:rStyle w:val="Strong"/>
                                  <w:rFonts w:ascii="Helvetica Neue" w:hAnsi="Helvetica Neue"/>
                                  <w:color w:val="F2F2F2"/>
                                  <w:sz w:val="36"/>
                                  <w:szCs w:val="36"/>
                                </w:rPr>
                                <w:lastRenderedPageBreak/>
                                <w:t>Upcoming Events</w:t>
                              </w:r>
                            </w:p>
                          </w:tc>
                        </w:tr>
                      </w:tbl>
                      <w:p w14:paraId="7A5AD588" w14:textId="77777777" w:rsidR="00DF1E3F" w:rsidRDefault="00DF1E3F">
                        <w:pPr>
                          <w:rPr>
                            <w:rFonts w:ascii="Times New Roman" w:hAnsi="Times New Roman"/>
                          </w:rPr>
                        </w:pPr>
                      </w:p>
                    </w:tc>
                  </w:tr>
                </w:tbl>
                <w:p w14:paraId="73684D02" w14:textId="77777777" w:rsidR="00DF1E3F" w:rsidRDefault="00DF1E3F"/>
              </w:tc>
            </w:tr>
          </w:tbl>
          <w:p w14:paraId="74AC5F70"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64ACFBC" w14:textId="77777777">
              <w:tc>
                <w:tcPr>
                  <w:tcW w:w="0" w:type="auto"/>
                  <w:tcBorders>
                    <w:top w:val="single" w:sz="6" w:space="0" w:color="E6E6E6"/>
                    <w:left w:val="single" w:sz="6" w:space="0" w:color="E6E6E6"/>
                    <w:bottom w:val="single" w:sz="6" w:space="0" w:color="E6E6E6"/>
                    <w:right w:val="single" w:sz="6" w:space="0" w:color="E6E6E6"/>
                  </w:tcBorders>
                  <w:tcMar>
                    <w:top w:w="75" w:type="dxa"/>
                    <w:left w:w="270" w:type="dxa"/>
                    <w:bottom w:w="75" w:type="dxa"/>
                    <w:right w:w="270" w:type="dxa"/>
                  </w:tcMar>
                  <w:vAlign w:val="center"/>
                  <w:hideMark/>
                </w:tcPr>
                <w:tbl>
                  <w:tblPr>
                    <w:tblW w:w="5000" w:type="pct"/>
                    <w:tblBorders>
                      <w:top w:val="single" w:sz="12" w:space="0" w:color="4B6AA2"/>
                    </w:tblBorders>
                    <w:tblCellMar>
                      <w:left w:w="0" w:type="dxa"/>
                      <w:right w:w="0" w:type="dxa"/>
                    </w:tblCellMar>
                    <w:tblLook w:val="04A0" w:firstRow="1" w:lastRow="0" w:firstColumn="1" w:lastColumn="0" w:noHBand="0" w:noVBand="1"/>
                  </w:tblPr>
                  <w:tblGrid>
                    <w:gridCol w:w="8417"/>
                  </w:tblGrid>
                  <w:tr w:rsidR="00DF1E3F" w14:paraId="1DDFAA60"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13D64347" w14:textId="77777777" w:rsidR="00DF1E3F" w:rsidRDefault="00DF1E3F">
                        <w:pPr>
                          <w:rPr>
                            <w:rFonts w:ascii="Times" w:hAnsi="Times"/>
                            <w:color w:val="000000"/>
                            <w:sz w:val="27"/>
                            <w:szCs w:val="27"/>
                          </w:rPr>
                        </w:pPr>
                      </w:p>
                    </w:tc>
                  </w:tr>
                </w:tbl>
                <w:p w14:paraId="2897E577" w14:textId="77777777" w:rsidR="00DF1E3F" w:rsidRDefault="00DF1E3F"/>
              </w:tc>
            </w:tr>
          </w:tbl>
          <w:p w14:paraId="5F104067"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4461A411" w14:textId="77777777">
              <w:tc>
                <w:tcPr>
                  <w:tcW w:w="0" w:type="auto"/>
                  <w:tcBorders>
                    <w:top w:val="single" w:sz="6" w:space="0" w:color="E6E6E6"/>
                    <w:left w:val="single" w:sz="6" w:space="0" w:color="E6E6E6"/>
                    <w:bottom w:val="single" w:sz="6" w:space="0" w:color="E6E6E6"/>
                    <w:right w:val="single" w:sz="6" w:space="0" w:color="E6E6E6"/>
                  </w:tcBorders>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2"/>
                  </w:tblGrid>
                  <w:tr w:rsidR="00DF1E3F" w14:paraId="0C8B5FC1" w14:textId="77777777">
                    <w:tc>
                      <w:tcPr>
                        <w:tcW w:w="0" w:type="auto"/>
                        <w:tcBorders>
                          <w:top w:val="single" w:sz="6" w:space="0" w:color="E6E6E6"/>
                          <w:left w:val="single" w:sz="6" w:space="0" w:color="E6E6E6"/>
                          <w:bottom w:val="single" w:sz="6" w:space="0" w:color="E6E6E6"/>
                          <w:right w:val="single" w:sz="6" w:space="0" w:color="E6E6E6"/>
                        </w:tcBorders>
                        <w:tcMar>
                          <w:top w:w="0" w:type="dxa"/>
                          <w:left w:w="270" w:type="dxa"/>
                          <w:bottom w:w="135" w:type="dxa"/>
                          <w:right w:w="270" w:type="dxa"/>
                        </w:tcMar>
                        <w:hideMark/>
                      </w:tcPr>
                      <w:p w14:paraId="0D8398D8" w14:textId="77777777" w:rsidR="00DF1E3F" w:rsidRDefault="00DF1E3F">
                        <w:pPr>
                          <w:pStyle w:val="Heading3"/>
                          <w:spacing w:before="0" w:line="300" w:lineRule="atLeast"/>
                          <w:rPr>
                            <w:rFonts w:ascii="Arial" w:hAnsi="Arial" w:cs="Arial"/>
                            <w:color w:val="303030"/>
                            <w:spacing w:val="-8"/>
                          </w:rPr>
                        </w:pPr>
                        <w:hyperlink r:id="rId38" w:tgtFrame="_blank" w:history="1">
                          <w:r>
                            <w:rPr>
                              <w:rStyle w:val="Hyperlink"/>
                              <w:rFonts w:ascii="Helvetica Neue" w:hAnsi="Helvetica Neue" w:cs="Arial"/>
                              <w:color w:val="4C6AA2"/>
                              <w:spacing w:val="-8"/>
                              <w:sz w:val="30"/>
                              <w:szCs w:val="30"/>
                              <w:u w:val="none"/>
                            </w:rPr>
                            <w:t>A visitor’s view: are Palestinians in the West Bank subject to apartheid?</w:t>
                          </w:r>
                        </w:hyperlink>
                        <w:r>
                          <w:rPr>
                            <w:rFonts w:ascii="Helvetica Neue" w:hAnsi="Helvetica Neue" w:cs="Arial"/>
                            <w:b/>
                            <w:bCs/>
                            <w:color w:val="303030"/>
                            <w:spacing w:val="-8"/>
                          </w:rPr>
                          <w:br/>
                        </w:r>
                        <w:r>
                          <w:rPr>
                            <w:rFonts w:ascii="Helvetica Neue" w:hAnsi="Helvetica Neue" w:cs="Arial"/>
                            <w:b/>
                            <w:bCs/>
                            <w:color w:val="303030"/>
                            <w:spacing w:val="-8"/>
                          </w:rPr>
                          <w:br/>
                        </w:r>
                        <w:r>
                          <w:rPr>
                            <w:rFonts w:ascii="Helvetica Neue" w:hAnsi="Helvetica Neue" w:cs="Arial"/>
                            <w:b/>
                            <w:bCs/>
                            <w:color w:val="000000"/>
                            <w:spacing w:val="-8"/>
                            <w:sz w:val="18"/>
                            <w:szCs w:val="18"/>
                          </w:rPr>
                          <w:t xml:space="preserve">Join us to hear from writer Jeremy Webb on Tuesday 18 August. In this presentation, Webb describes his impressions from a recent </w:t>
                        </w:r>
                        <w:proofErr w:type="gramStart"/>
                        <w:r>
                          <w:rPr>
                            <w:rFonts w:ascii="Helvetica Neue" w:hAnsi="Helvetica Neue" w:cs="Arial"/>
                            <w:b/>
                            <w:bCs/>
                            <w:color w:val="000000"/>
                            <w:spacing w:val="-8"/>
                            <w:sz w:val="18"/>
                            <w:szCs w:val="18"/>
                          </w:rPr>
                          <w:t>10 day</w:t>
                        </w:r>
                        <w:proofErr w:type="gramEnd"/>
                        <w:r>
                          <w:rPr>
                            <w:rFonts w:ascii="Helvetica Neue" w:hAnsi="Helvetica Neue" w:cs="Arial"/>
                            <w:b/>
                            <w:bCs/>
                            <w:color w:val="000000"/>
                            <w:spacing w:val="-8"/>
                            <w:sz w:val="18"/>
                            <w:szCs w:val="18"/>
                          </w:rPr>
                          <w:t xml:space="preserve"> tour of the Palestinian West Bank. His focus is on how the Israeli government and Israeli settlers interact socially, economically and politically with Palestinian residents. He asks whether this amounts to the imposition of apartheid as defined by international organisations.</w:t>
                        </w:r>
                        <w:r>
                          <w:rPr>
                            <w:rFonts w:ascii="Helvetica Neue" w:hAnsi="Helvetica Neue" w:cs="Arial"/>
                            <w:b/>
                            <w:bCs/>
                            <w:color w:val="000000"/>
                            <w:spacing w:val="-8"/>
                            <w:sz w:val="18"/>
                            <w:szCs w:val="18"/>
                          </w:rPr>
                          <w:br/>
                        </w:r>
                        <w:r>
                          <w:rPr>
                            <w:rFonts w:ascii="Helvetica Neue" w:hAnsi="Helvetica Neue" w:cs="Arial"/>
                            <w:b/>
                            <w:bCs/>
                            <w:color w:val="000000"/>
                            <w:spacing w:val="-8"/>
                            <w:sz w:val="18"/>
                            <w:szCs w:val="18"/>
                          </w:rPr>
                          <w:br/>
                        </w:r>
                        <w:r>
                          <w:rPr>
                            <w:rStyle w:val="Emphasis"/>
                            <w:rFonts w:ascii="Helvetica Neue" w:hAnsi="Helvetica Neue" w:cs="Arial"/>
                            <w:b/>
                            <w:bCs/>
                            <w:color w:val="000000"/>
                            <w:spacing w:val="-8"/>
                            <w:sz w:val="18"/>
                            <w:szCs w:val="18"/>
                          </w:rPr>
                          <w:t>We welcome participants in-person at the Glover Cottages, tickets to be pre-</w:t>
                        </w:r>
                        <w:proofErr w:type="gramStart"/>
                        <w:r>
                          <w:rPr>
                            <w:rStyle w:val="Emphasis"/>
                            <w:rFonts w:ascii="Helvetica Neue" w:hAnsi="Helvetica Neue" w:cs="Arial"/>
                            <w:b/>
                            <w:bCs/>
                            <w:color w:val="000000"/>
                            <w:spacing w:val="-8"/>
                            <w:sz w:val="18"/>
                            <w:szCs w:val="18"/>
                          </w:rPr>
                          <w:t>paid .</w:t>
                        </w:r>
                        <w:proofErr w:type="gramEnd"/>
                        <w:r>
                          <w:rPr>
                            <w:rStyle w:val="Emphasis"/>
                            <w:rFonts w:ascii="Helvetica Neue" w:hAnsi="Helvetica Neue" w:cs="Arial"/>
                            <w:b/>
                            <w:bCs/>
                            <w:color w:val="000000"/>
                            <w:spacing w:val="-8"/>
                            <w:sz w:val="18"/>
                            <w:szCs w:val="18"/>
                          </w:rPr>
                          <w:t xml:space="preserve"> Once the limit for in-person attendees is reached, tickets will no longer be sold on the website or at the door. Refreshments will be served from 6pm at Glover Cottages. The event will start at 6.30pm AEST (Sydney, Canberra, Melbourne time), Tuesday August 18.</w:t>
                        </w:r>
                      </w:p>
                    </w:tc>
                  </w:tr>
                </w:tbl>
                <w:p w14:paraId="59E514F3" w14:textId="77777777" w:rsidR="00DF1E3F" w:rsidRDefault="00DF1E3F">
                  <w:pPr>
                    <w:rPr>
                      <w:rFonts w:ascii="Times New Roman" w:hAnsi="Times New Roman" w:cs="Times New Roman"/>
                    </w:rPr>
                  </w:pPr>
                </w:p>
              </w:tc>
            </w:tr>
          </w:tbl>
          <w:p w14:paraId="70DFE854" w14:textId="77777777" w:rsidR="00DF1E3F" w:rsidRDefault="00DF1E3F">
            <w:pPr>
              <w:rPr>
                <w:rFonts w:ascii="Times" w:hAnsi="Times"/>
                <w:vanish/>
                <w:color w:val="000000"/>
                <w:sz w:val="27"/>
                <w:szCs w:val="27"/>
              </w:rPr>
            </w:pPr>
          </w:p>
          <w:tbl>
            <w:tblPr>
              <w:tblW w:w="5000" w:type="pct"/>
              <w:tblCellMar>
                <w:left w:w="0" w:type="dxa"/>
                <w:right w:w="0" w:type="dxa"/>
              </w:tblCellMar>
              <w:tblLook w:val="04A0" w:firstRow="1" w:lastRow="0" w:firstColumn="1" w:lastColumn="0" w:noHBand="0" w:noVBand="1"/>
            </w:tblPr>
            <w:tblGrid>
              <w:gridCol w:w="8973"/>
            </w:tblGrid>
            <w:tr w:rsidR="00DF1E3F" w14:paraId="6B007CE1" w14:textId="77777777">
              <w:tc>
                <w:tcPr>
                  <w:tcW w:w="0" w:type="auto"/>
                  <w:tcBorders>
                    <w:top w:val="single" w:sz="6" w:space="0" w:color="E6E6E6"/>
                    <w:left w:val="single" w:sz="6" w:space="0" w:color="E6E6E6"/>
                    <w:bottom w:val="single" w:sz="6" w:space="0" w:color="E6E6E6"/>
                    <w:right w:val="single" w:sz="6" w:space="0" w:color="E6E6E6"/>
                  </w:tcBorders>
                  <w:tcMar>
                    <w:top w:w="150" w:type="dxa"/>
                    <w:left w:w="270" w:type="dxa"/>
                    <w:bottom w:w="150" w:type="dxa"/>
                    <w:right w:w="270" w:type="dxa"/>
                  </w:tcMar>
                  <w:vAlign w:val="center"/>
                  <w:hideMark/>
                </w:tcPr>
                <w:tbl>
                  <w:tblPr>
                    <w:tblW w:w="5000" w:type="pct"/>
                    <w:tblBorders>
                      <w:top w:val="single" w:sz="24" w:space="0" w:color="4B6AA2"/>
                    </w:tblBorders>
                    <w:tblCellMar>
                      <w:left w:w="0" w:type="dxa"/>
                      <w:right w:w="0" w:type="dxa"/>
                    </w:tblCellMar>
                    <w:tblLook w:val="04A0" w:firstRow="1" w:lastRow="0" w:firstColumn="1" w:lastColumn="0" w:noHBand="0" w:noVBand="1"/>
                  </w:tblPr>
                  <w:tblGrid>
                    <w:gridCol w:w="8417"/>
                  </w:tblGrid>
                  <w:tr w:rsidR="00DF1E3F" w14:paraId="45572FD1" w14:textId="77777777">
                    <w:tc>
                      <w:tcPr>
                        <w:tcW w:w="0" w:type="auto"/>
                        <w:tcBorders>
                          <w:top w:val="single" w:sz="6" w:space="0" w:color="E6E6E6"/>
                          <w:left w:val="single" w:sz="6" w:space="0" w:color="E6E6E6"/>
                          <w:bottom w:val="single" w:sz="6" w:space="0" w:color="E6E6E6"/>
                          <w:right w:val="single" w:sz="6" w:space="0" w:color="E6E6E6"/>
                        </w:tcBorders>
                        <w:vAlign w:val="center"/>
                        <w:hideMark/>
                      </w:tcPr>
                      <w:p w14:paraId="58E0DBA5" w14:textId="77777777" w:rsidR="00DF1E3F" w:rsidRDefault="00DF1E3F">
                        <w:pPr>
                          <w:rPr>
                            <w:rFonts w:ascii="Times" w:hAnsi="Times"/>
                            <w:color w:val="000000"/>
                            <w:sz w:val="27"/>
                            <w:szCs w:val="27"/>
                          </w:rPr>
                        </w:pPr>
                      </w:p>
                    </w:tc>
                  </w:tr>
                </w:tbl>
                <w:p w14:paraId="3CD24DD3" w14:textId="77777777" w:rsidR="00DF1E3F" w:rsidRDefault="00DF1E3F"/>
              </w:tc>
            </w:tr>
          </w:tbl>
          <w:p w14:paraId="0CC3ACCB" w14:textId="77777777" w:rsidR="00DF1E3F" w:rsidRDefault="00DF1E3F">
            <w:pPr>
              <w:rPr>
                <w:rFonts w:ascii="Times" w:hAnsi="Times"/>
                <w:color w:val="000000"/>
                <w:sz w:val="27"/>
                <w:szCs w:val="27"/>
              </w:rPr>
            </w:pPr>
          </w:p>
        </w:tc>
      </w:tr>
    </w:tbl>
    <w:p w14:paraId="114FCCD9" w14:textId="6D9104D9" w:rsidR="008E4AF3" w:rsidRDefault="008E4AF3"/>
    <w:sectPr w:rsidR="008E4AF3" w:rsidSect="00B04A3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Kohinoor Devanagari">
    <w:panose1 w:val="020000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2BA"/>
    <w:multiLevelType w:val="multilevel"/>
    <w:tmpl w:val="66BE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51823"/>
    <w:multiLevelType w:val="multilevel"/>
    <w:tmpl w:val="7AEE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206F6"/>
    <w:multiLevelType w:val="multilevel"/>
    <w:tmpl w:val="944C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2749A"/>
    <w:multiLevelType w:val="multilevel"/>
    <w:tmpl w:val="0B82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67A7B"/>
    <w:multiLevelType w:val="multilevel"/>
    <w:tmpl w:val="39E0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7122A"/>
    <w:multiLevelType w:val="multilevel"/>
    <w:tmpl w:val="F2E4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87829"/>
    <w:multiLevelType w:val="multilevel"/>
    <w:tmpl w:val="F87E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A3FF7"/>
    <w:multiLevelType w:val="multilevel"/>
    <w:tmpl w:val="6CD6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D626E"/>
    <w:multiLevelType w:val="multilevel"/>
    <w:tmpl w:val="B790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36FB3"/>
    <w:multiLevelType w:val="multilevel"/>
    <w:tmpl w:val="FA6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A40DD"/>
    <w:multiLevelType w:val="multilevel"/>
    <w:tmpl w:val="31D2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A37195"/>
    <w:multiLevelType w:val="multilevel"/>
    <w:tmpl w:val="4E1A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178D9"/>
    <w:multiLevelType w:val="multilevel"/>
    <w:tmpl w:val="03E0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1B05F4"/>
    <w:multiLevelType w:val="multilevel"/>
    <w:tmpl w:val="07DC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B62239"/>
    <w:multiLevelType w:val="multilevel"/>
    <w:tmpl w:val="1E7E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CB4F96"/>
    <w:multiLevelType w:val="multilevel"/>
    <w:tmpl w:val="CA72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7C4BD0"/>
    <w:multiLevelType w:val="multilevel"/>
    <w:tmpl w:val="722E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40901"/>
    <w:multiLevelType w:val="multilevel"/>
    <w:tmpl w:val="3FA0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E0FA3"/>
    <w:multiLevelType w:val="multilevel"/>
    <w:tmpl w:val="1D5A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932F8"/>
    <w:multiLevelType w:val="multilevel"/>
    <w:tmpl w:val="3444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B61E6F"/>
    <w:multiLevelType w:val="multilevel"/>
    <w:tmpl w:val="90C8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77670"/>
    <w:multiLevelType w:val="multilevel"/>
    <w:tmpl w:val="153E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AC4C25"/>
    <w:multiLevelType w:val="multilevel"/>
    <w:tmpl w:val="B35E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60690B"/>
    <w:multiLevelType w:val="multilevel"/>
    <w:tmpl w:val="4E56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102DA"/>
    <w:multiLevelType w:val="multilevel"/>
    <w:tmpl w:val="0984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277BF"/>
    <w:multiLevelType w:val="multilevel"/>
    <w:tmpl w:val="54D4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52722"/>
    <w:multiLevelType w:val="multilevel"/>
    <w:tmpl w:val="DC624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32150D"/>
    <w:multiLevelType w:val="multilevel"/>
    <w:tmpl w:val="A834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ED1D3E"/>
    <w:multiLevelType w:val="multilevel"/>
    <w:tmpl w:val="0438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C16F47"/>
    <w:multiLevelType w:val="multilevel"/>
    <w:tmpl w:val="9418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075206">
    <w:abstractNumId w:val="14"/>
  </w:num>
  <w:num w:numId="2" w16cid:durableId="1756855691">
    <w:abstractNumId w:val="17"/>
  </w:num>
  <w:num w:numId="3" w16cid:durableId="622732817">
    <w:abstractNumId w:val="2"/>
  </w:num>
  <w:num w:numId="4" w16cid:durableId="2104300094">
    <w:abstractNumId w:val="28"/>
  </w:num>
  <w:num w:numId="5" w16cid:durableId="329336772">
    <w:abstractNumId w:val="29"/>
  </w:num>
  <w:num w:numId="6" w16cid:durableId="789519154">
    <w:abstractNumId w:val="26"/>
  </w:num>
  <w:num w:numId="7" w16cid:durableId="318460018">
    <w:abstractNumId w:val="15"/>
  </w:num>
  <w:num w:numId="8" w16cid:durableId="188183867">
    <w:abstractNumId w:val="22"/>
  </w:num>
  <w:num w:numId="9" w16cid:durableId="365450568">
    <w:abstractNumId w:val="0"/>
  </w:num>
  <w:num w:numId="10" w16cid:durableId="885918749">
    <w:abstractNumId w:val="8"/>
  </w:num>
  <w:num w:numId="11" w16cid:durableId="380322530">
    <w:abstractNumId w:val="9"/>
  </w:num>
  <w:num w:numId="12" w16cid:durableId="1289093622">
    <w:abstractNumId w:val="10"/>
  </w:num>
  <w:num w:numId="13" w16cid:durableId="1948346188">
    <w:abstractNumId w:val="20"/>
  </w:num>
  <w:num w:numId="14" w16cid:durableId="1134712774">
    <w:abstractNumId w:val="1"/>
  </w:num>
  <w:num w:numId="15" w16cid:durableId="96561637">
    <w:abstractNumId w:val="27"/>
  </w:num>
  <w:num w:numId="16" w16cid:durableId="55327539">
    <w:abstractNumId w:val="3"/>
  </w:num>
  <w:num w:numId="17" w16cid:durableId="1082265465">
    <w:abstractNumId w:val="5"/>
  </w:num>
  <w:num w:numId="18" w16cid:durableId="349526869">
    <w:abstractNumId w:val="6"/>
  </w:num>
  <w:num w:numId="19" w16cid:durableId="87237513">
    <w:abstractNumId w:val="13"/>
  </w:num>
  <w:num w:numId="20" w16cid:durableId="1901475487">
    <w:abstractNumId w:val="19"/>
  </w:num>
  <w:num w:numId="21" w16cid:durableId="1652904533">
    <w:abstractNumId w:val="23"/>
  </w:num>
  <w:num w:numId="22" w16cid:durableId="1303927555">
    <w:abstractNumId w:val="16"/>
  </w:num>
  <w:num w:numId="23" w16cid:durableId="441267867">
    <w:abstractNumId w:val="18"/>
  </w:num>
  <w:num w:numId="24" w16cid:durableId="1303804196">
    <w:abstractNumId w:val="24"/>
  </w:num>
  <w:num w:numId="25" w16cid:durableId="1863202131">
    <w:abstractNumId w:val="11"/>
  </w:num>
  <w:num w:numId="26" w16cid:durableId="296222965">
    <w:abstractNumId w:val="25"/>
  </w:num>
  <w:num w:numId="27" w16cid:durableId="1148086659">
    <w:abstractNumId w:val="21"/>
  </w:num>
  <w:num w:numId="28" w16cid:durableId="1774475676">
    <w:abstractNumId w:val="7"/>
  </w:num>
  <w:num w:numId="29" w16cid:durableId="261189511">
    <w:abstractNumId w:val="4"/>
  </w:num>
  <w:num w:numId="30" w16cid:durableId="1076198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F6"/>
    <w:rsid w:val="00026306"/>
    <w:rsid w:val="00067C26"/>
    <w:rsid w:val="00121B39"/>
    <w:rsid w:val="001E338B"/>
    <w:rsid w:val="00312DFD"/>
    <w:rsid w:val="00341E2E"/>
    <w:rsid w:val="005B37F6"/>
    <w:rsid w:val="005B6C0D"/>
    <w:rsid w:val="005C287B"/>
    <w:rsid w:val="006B5111"/>
    <w:rsid w:val="0070420A"/>
    <w:rsid w:val="007D5B2C"/>
    <w:rsid w:val="008337D5"/>
    <w:rsid w:val="00847317"/>
    <w:rsid w:val="0085190D"/>
    <w:rsid w:val="008E4AF3"/>
    <w:rsid w:val="009037DD"/>
    <w:rsid w:val="00926695"/>
    <w:rsid w:val="0098151C"/>
    <w:rsid w:val="009E7521"/>
    <w:rsid w:val="009F1004"/>
    <w:rsid w:val="00AB4F15"/>
    <w:rsid w:val="00AC0AEA"/>
    <w:rsid w:val="00B04A33"/>
    <w:rsid w:val="00B34349"/>
    <w:rsid w:val="00C02FE5"/>
    <w:rsid w:val="00C82C63"/>
    <w:rsid w:val="00DB0C94"/>
    <w:rsid w:val="00DF1E3F"/>
    <w:rsid w:val="00F96FD9"/>
    <w:rsid w:val="00FB0E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BD71"/>
  <w15:chartTrackingRefBased/>
  <w15:docId w15:val="{19AC6B2B-4414-5845-8610-3167E949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B37F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AB4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4F1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7F6"/>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5B37F6"/>
    <w:rPr>
      <w:b/>
      <w:bCs/>
    </w:rPr>
  </w:style>
  <w:style w:type="character" w:styleId="Emphasis">
    <w:name w:val="Emphasis"/>
    <w:basedOn w:val="DefaultParagraphFont"/>
    <w:uiPriority w:val="20"/>
    <w:qFormat/>
    <w:rsid w:val="005B37F6"/>
    <w:rPr>
      <w:i/>
      <w:iCs/>
    </w:rPr>
  </w:style>
  <w:style w:type="character" w:styleId="Hyperlink">
    <w:name w:val="Hyperlink"/>
    <w:basedOn w:val="DefaultParagraphFont"/>
    <w:uiPriority w:val="99"/>
    <w:unhideWhenUsed/>
    <w:rsid w:val="005B37F6"/>
    <w:rPr>
      <w:color w:val="0000FF"/>
      <w:u w:val="single"/>
    </w:rPr>
  </w:style>
  <w:style w:type="paragraph" w:styleId="NormalWeb">
    <w:name w:val="Normal (Web)"/>
    <w:basedOn w:val="Normal"/>
    <w:uiPriority w:val="99"/>
    <w:semiHidden/>
    <w:unhideWhenUsed/>
    <w:rsid w:val="005B37F6"/>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F96FD9"/>
    <w:rPr>
      <w:color w:val="954F72" w:themeColor="followedHyperlink"/>
      <w:u w:val="single"/>
    </w:rPr>
  </w:style>
  <w:style w:type="character" w:customStyle="1" w:styleId="Heading2Char">
    <w:name w:val="Heading 2 Char"/>
    <w:basedOn w:val="DefaultParagraphFont"/>
    <w:link w:val="Heading2"/>
    <w:uiPriority w:val="9"/>
    <w:rsid w:val="00AB4F1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B4F1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58650">
      <w:bodyDiv w:val="1"/>
      <w:marLeft w:val="0"/>
      <w:marRight w:val="0"/>
      <w:marTop w:val="0"/>
      <w:marBottom w:val="0"/>
      <w:divBdr>
        <w:top w:val="none" w:sz="0" w:space="0" w:color="auto"/>
        <w:left w:val="none" w:sz="0" w:space="0" w:color="auto"/>
        <w:bottom w:val="none" w:sz="0" w:space="0" w:color="auto"/>
        <w:right w:val="none" w:sz="0" w:space="0" w:color="auto"/>
      </w:divBdr>
      <w:divsChild>
        <w:div w:id="742147701">
          <w:marLeft w:val="0"/>
          <w:marRight w:val="0"/>
          <w:marTop w:val="0"/>
          <w:marBottom w:val="0"/>
          <w:divBdr>
            <w:top w:val="none" w:sz="0" w:space="0" w:color="auto"/>
            <w:left w:val="none" w:sz="0" w:space="0" w:color="auto"/>
            <w:bottom w:val="none" w:sz="0" w:space="0" w:color="auto"/>
            <w:right w:val="none" w:sz="0" w:space="0" w:color="auto"/>
          </w:divBdr>
        </w:div>
        <w:div w:id="84427802">
          <w:marLeft w:val="0"/>
          <w:marRight w:val="0"/>
          <w:marTop w:val="0"/>
          <w:marBottom w:val="0"/>
          <w:divBdr>
            <w:top w:val="none" w:sz="0" w:space="0" w:color="auto"/>
            <w:left w:val="none" w:sz="0" w:space="0" w:color="auto"/>
            <w:bottom w:val="none" w:sz="0" w:space="0" w:color="auto"/>
            <w:right w:val="none" w:sz="0" w:space="0" w:color="auto"/>
          </w:divBdr>
        </w:div>
        <w:div w:id="1051730721">
          <w:marLeft w:val="0"/>
          <w:marRight w:val="0"/>
          <w:marTop w:val="0"/>
          <w:marBottom w:val="0"/>
          <w:divBdr>
            <w:top w:val="none" w:sz="0" w:space="0" w:color="auto"/>
            <w:left w:val="none" w:sz="0" w:space="0" w:color="auto"/>
            <w:bottom w:val="none" w:sz="0" w:space="0" w:color="auto"/>
            <w:right w:val="none" w:sz="0" w:space="0" w:color="auto"/>
          </w:divBdr>
        </w:div>
      </w:divsChild>
    </w:div>
    <w:div w:id="467237642">
      <w:bodyDiv w:val="1"/>
      <w:marLeft w:val="0"/>
      <w:marRight w:val="0"/>
      <w:marTop w:val="0"/>
      <w:marBottom w:val="0"/>
      <w:divBdr>
        <w:top w:val="none" w:sz="0" w:space="0" w:color="auto"/>
        <w:left w:val="none" w:sz="0" w:space="0" w:color="auto"/>
        <w:bottom w:val="none" w:sz="0" w:space="0" w:color="auto"/>
        <w:right w:val="none" w:sz="0" w:space="0" w:color="auto"/>
      </w:divBdr>
      <w:divsChild>
        <w:div w:id="230504618">
          <w:marLeft w:val="0"/>
          <w:marRight w:val="0"/>
          <w:marTop w:val="0"/>
          <w:marBottom w:val="0"/>
          <w:divBdr>
            <w:top w:val="none" w:sz="0" w:space="0" w:color="auto"/>
            <w:left w:val="none" w:sz="0" w:space="0" w:color="auto"/>
            <w:bottom w:val="none" w:sz="0" w:space="0" w:color="auto"/>
            <w:right w:val="none" w:sz="0" w:space="0" w:color="auto"/>
          </w:divBdr>
        </w:div>
        <w:div w:id="840851034">
          <w:marLeft w:val="0"/>
          <w:marRight w:val="0"/>
          <w:marTop w:val="0"/>
          <w:marBottom w:val="0"/>
          <w:divBdr>
            <w:top w:val="none" w:sz="0" w:space="0" w:color="auto"/>
            <w:left w:val="none" w:sz="0" w:space="0" w:color="auto"/>
            <w:bottom w:val="none" w:sz="0" w:space="0" w:color="auto"/>
            <w:right w:val="none" w:sz="0" w:space="0" w:color="auto"/>
          </w:divBdr>
        </w:div>
        <w:div w:id="1606187710">
          <w:marLeft w:val="0"/>
          <w:marRight w:val="0"/>
          <w:marTop w:val="0"/>
          <w:marBottom w:val="0"/>
          <w:divBdr>
            <w:top w:val="none" w:sz="0" w:space="0" w:color="auto"/>
            <w:left w:val="none" w:sz="0" w:space="0" w:color="auto"/>
            <w:bottom w:val="none" w:sz="0" w:space="0" w:color="auto"/>
            <w:right w:val="none" w:sz="0" w:space="0" w:color="auto"/>
          </w:divBdr>
        </w:div>
      </w:divsChild>
    </w:div>
    <w:div w:id="510687065">
      <w:bodyDiv w:val="1"/>
      <w:marLeft w:val="0"/>
      <w:marRight w:val="0"/>
      <w:marTop w:val="0"/>
      <w:marBottom w:val="0"/>
      <w:divBdr>
        <w:top w:val="none" w:sz="0" w:space="0" w:color="auto"/>
        <w:left w:val="none" w:sz="0" w:space="0" w:color="auto"/>
        <w:bottom w:val="none" w:sz="0" w:space="0" w:color="auto"/>
        <w:right w:val="none" w:sz="0" w:space="0" w:color="auto"/>
      </w:divBdr>
      <w:divsChild>
        <w:div w:id="479464657">
          <w:marLeft w:val="0"/>
          <w:marRight w:val="0"/>
          <w:marTop w:val="0"/>
          <w:marBottom w:val="0"/>
          <w:divBdr>
            <w:top w:val="none" w:sz="0" w:space="0" w:color="auto"/>
            <w:left w:val="none" w:sz="0" w:space="0" w:color="auto"/>
            <w:bottom w:val="none" w:sz="0" w:space="0" w:color="auto"/>
            <w:right w:val="none" w:sz="0" w:space="0" w:color="auto"/>
          </w:divBdr>
        </w:div>
      </w:divsChild>
    </w:div>
    <w:div w:id="546992458">
      <w:bodyDiv w:val="1"/>
      <w:marLeft w:val="0"/>
      <w:marRight w:val="0"/>
      <w:marTop w:val="0"/>
      <w:marBottom w:val="0"/>
      <w:divBdr>
        <w:top w:val="none" w:sz="0" w:space="0" w:color="auto"/>
        <w:left w:val="none" w:sz="0" w:space="0" w:color="auto"/>
        <w:bottom w:val="none" w:sz="0" w:space="0" w:color="auto"/>
        <w:right w:val="none" w:sz="0" w:space="0" w:color="auto"/>
      </w:divBdr>
      <w:divsChild>
        <w:div w:id="1701541755">
          <w:marLeft w:val="0"/>
          <w:marRight w:val="0"/>
          <w:marTop w:val="0"/>
          <w:marBottom w:val="0"/>
          <w:divBdr>
            <w:top w:val="none" w:sz="0" w:space="0" w:color="auto"/>
            <w:left w:val="none" w:sz="0" w:space="0" w:color="auto"/>
            <w:bottom w:val="none" w:sz="0" w:space="0" w:color="auto"/>
            <w:right w:val="none" w:sz="0" w:space="0" w:color="auto"/>
          </w:divBdr>
        </w:div>
      </w:divsChild>
    </w:div>
    <w:div w:id="667484724">
      <w:bodyDiv w:val="1"/>
      <w:marLeft w:val="0"/>
      <w:marRight w:val="0"/>
      <w:marTop w:val="0"/>
      <w:marBottom w:val="0"/>
      <w:divBdr>
        <w:top w:val="none" w:sz="0" w:space="0" w:color="auto"/>
        <w:left w:val="none" w:sz="0" w:space="0" w:color="auto"/>
        <w:bottom w:val="none" w:sz="0" w:space="0" w:color="auto"/>
        <w:right w:val="none" w:sz="0" w:space="0" w:color="auto"/>
      </w:divBdr>
      <w:divsChild>
        <w:div w:id="1320187535">
          <w:marLeft w:val="0"/>
          <w:marRight w:val="0"/>
          <w:marTop w:val="0"/>
          <w:marBottom w:val="0"/>
          <w:divBdr>
            <w:top w:val="none" w:sz="0" w:space="0" w:color="auto"/>
            <w:left w:val="none" w:sz="0" w:space="0" w:color="auto"/>
            <w:bottom w:val="none" w:sz="0" w:space="0" w:color="auto"/>
            <w:right w:val="none" w:sz="0" w:space="0" w:color="auto"/>
          </w:divBdr>
        </w:div>
      </w:divsChild>
    </w:div>
    <w:div w:id="788624351">
      <w:bodyDiv w:val="1"/>
      <w:marLeft w:val="0"/>
      <w:marRight w:val="0"/>
      <w:marTop w:val="0"/>
      <w:marBottom w:val="0"/>
      <w:divBdr>
        <w:top w:val="none" w:sz="0" w:space="0" w:color="auto"/>
        <w:left w:val="none" w:sz="0" w:space="0" w:color="auto"/>
        <w:bottom w:val="none" w:sz="0" w:space="0" w:color="auto"/>
        <w:right w:val="none" w:sz="0" w:space="0" w:color="auto"/>
      </w:divBdr>
      <w:divsChild>
        <w:div w:id="217597322">
          <w:marLeft w:val="0"/>
          <w:marRight w:val="0"/>
          <w:marTop w:val="0"/>
          <w:marBottom w:val="0"/>
          <w:divBdr>
            <w:top w:val="none" w:sz="0" w:space="0" w:color="auto"/>
            <w:left w:val="none" w:sz="0" w:space="0" w:color="auto"/>
            <w:bottom w:val="none" w:sz="0" w:space="0" w:color="auto"/>
            <w:right w:val="none" w:sz="0" w:space="0" w:color="auto"/>
          </w:divBdr>
        </w:div>
        <w:div w:id="317267239">
          <w:marLeft w:val="0"/>
          <w:marRight w:val="0"/>
          <w:marTop w:val="0"/>
          <w:marBottom w:val="0"/>
          <w:divBdr>
            <w:top w:val="none" w:sz="0" w:space="0" w:color="auto"/>
            <w:left w:val="none" w:sz="0" w:space="0" w:color="auto"/>
            <w:bottom w:val="none" w:sz="0" w:space="0" w:color="auto"/>
            <w:right w:val="none" w:sz="0" w:space="0" w:color="auto"/>
          </w:divBdr>
        </w:div>
        <w:div w:id="1217207257">
          <w:marLeft w:val="0"/>
          <w:marRight w:val="0"/>
          <w:marTop w:val="0"/>
          <w:marBottom w:val="0"/>
          <w:divBdr>
            <w:top w:val="none" w:sz="0" w:space="0" w:color="auto"/>
            <w:left w:val="none" w:sz="0" w:space="0" w:color="auto"/>
            <w:bottom w:val="none" w:sz="0" w:space="0" w:color="auto"/>
            <w:right w:val="none" w:sz="0" w:space="0" w:color="auto"/>
          </w:divBdr>
        </w:div>
      </w:divsChild>
    </w:div>
    <w:div w:id="796491498">
      <w:bodyDiv w:val="1"/>
      <w:marLeft w:val="0"/>
      <w:marRight w:val="0"/>
      <w:marTop w:val="0"/>
      <w:marBottom w:val="0"/>
      <w:divBdr>
        <w:top w:val="none" w:sz="0" w:space="0" w:color="auto"/>
        <w:left w:val="none" w:sz="0" w:space="0" w:color="auto"/>
        <w:bottom w:val="none" w:sz="0" w:space="0" w:color="auto"/>
        <w:right w:val="none" w:sz="0" w:space="0" w:color="auto"/>
      </w:divBdr>
      <w:divsChild>
        <w:div w:id="36708178">
          <w:marLeft w:val="0"/>
          <w:marRight w:val="0"/>
          <w:marTop w:val="0"/>
          <w:marBottom w:val="0"/>
          <w:divBdr>
            <w:top w:val="none" w:sz="0" w:space="0" w:color="auto"/>
            <w:left w:val="none" w:sz="0" w:space="0" w:color="auto"/>
            <w:bottom w:val="none" w:sz="0" w:space="0" w:color="auto"/>
            <w:right w:val="none" w:sz="0" w:space="0" w:color="auto"/>
          </w:divBdr>
          <w:divsChild>
            <w:div w:id="1198546327">
              <w:marLeft w:val="0"/>
              <w:marRight w:val="0"/>
              <w:marTop w:val="0"/>
              <w:marBottom w:val="0"/>
              <w:divBdr>
                <w:top w:val="none" w:sz="0" w:space="0" w:color="auto"/>
                <w:left w:val="none" w:sz="0" w:space="0" w:color="auto"/>
                <w:bottom w:val="none" w:sz="0" w:space="0" w:color="auto"/>
                <w:right w:val="none" w:sz="0" w:space="0" w:color="auto"/>
              </w:divBdr>
            </w:div>
          </w:divsChild>
        </w:div>
        <w:div w:id="2107071680">
          <w:marLeft w:val="0"/>
          <w:marRight w:val="0"/>
          <w:marTop w:val="0"/>
          <w:marBottom w:val="0"/>
          <w:divBdr>
            <w:top w:val="none" w:sz="0" w:space="0" w:color="auto"/>
            <w:left w:val="none" w:sz="0" w:space="0" w:color="auto"/>
            <w:bottom w:val="none" w:sz="0" w:space="0" w:color="auto"/>
            <w:right w:val="none" w:sz="0" w:space="0" w:color="auto"/>
          </w:divBdr>
        </w:div>
      </w:divsChild>
    </w:div>
    <w:div w:id="988636435">
      <w:bodyDiv w:val="1"/>
      <w:marLeft w:val="0"/>
      <w:marRight w:val="0"/>
      <w:marTop w:val="0"/>
      <w:marBottom w:val="0"/>
      <w:divBdr>
        <w:top w:val="none" w:sz="0" w:space="0" w:color="auto"/>
        <w:left w:val="none" w:sz="0" w:space="0" w:color="auto"/>
        <w:bottom w:val="none" w:sz="0" w:space="0" w:color="auto"/>
        <w:right w:val="none" w:sz="0" w:space="0" w:color="auto"/>
      </w:divBdr>
      <w:divsChild>
        <w:div w:id="1079789909">
          <w:marLeft w:val="0"/>
          <w:marRight w:val="0"/>
          <w:marTop w:val="0"/>
          <w:marBottom w:val="0"/>
          <w:divBdr>
            <w:top w:val="none" w:sz="0" w:space="0" w:color="auto"/>
            <w:left w:val="none" w:sz="0" w:space="0" w:color="auto"/>
            <w:bottom w:val="none" w:sz="0" w:space="0" w:color="auto"/>
            <w:right w:val="none" w:sz="0" w:space="0" w:color="auto"/>
          </w:divBdr>
        </w:div>
      </w:divsChild>
    </w:div>
    <w:div w:id="1087963593">
      <w:bodyDiv w:val="1"/>
      <w:marLeft w:val="0"/>
      <w:marRight w:val="0"/>
      <w:marTop w:val="0"/>
      <w:marBottom w:val="0"/>
      <w:divBdr>
        <w:top w:val="none" w:sz="0" w:space="0" w:color="auto"/>
        <w:left w:val="none" w:sz="0" w:space="0" w:color="auto"/>
        <w:bottom w:val="none" w:sz="0" w:space="0" w:color="auto"/>
        <w:right w:val="none" w:sz="0" w:space="0" w:color="auto"/>
      </w:divBdr>
      <w:divsChild>
        <w:div w:id="2081168000">
          <w:marLeft w:val="0"/>
          <w:marRight w:val="0"/>
          <w:marTop w:val="0"/>
          <w:marBottom w:val="0"/>
          <w:divBdr>
            <w:top w:val="none" w:sz="0" w:space="0" w:color="auto"/>
            <w:left w:val="none" w:sz="0" w:space="0" w:color="auto"/>
            <w:bottom w:val="none" w:sz="0" w:space="0" w:color="auto"/>
            <w:right w:val="none" w:sz="0" w:space="0" w:color="auto"/>
          </w:divBdr>
        </w:div>
      </w:divsChild>
    </w:div>
    <w:div w:id="1115367306">
      <w:bodyDiv w:val="1"/>
      <w:marLeft w:val="0"/>
      <w:marRight w:val="0"/>
      <w:marTop w:val="0"/>
      <w:marBottom w:val="0"/>
      <w:divBdr>
        <w:top w:val="none" w:sz="0" w:space="0" w:color="auto"/>
        <w:left w:val="none" w:sz="0" w:space="0" w:color="auto"/>
        <w:bottom w:val="none" w:sz="0" w:space="0" w:color="auto"/>
        <w:right w:val="none" w:sz="0" w:space="0" w:color="auto"/>
      </w:divBdr>
      <w:divsChild>
        <w:div w:id="576205027">
          <w:marLeft w:val="0"/>
          <w:marRight w:val="0"/>
          <w:marTop w:val="0"/>
          <w:marBottom w:val="0"/>
          <w:divBdr>
            <w:top w:val="none" w:sz="0" w:space="0" w:color="auto"/>
            <w:left w:val="none" w:sz="0" w:space="0" w:color="auto"/>
            <w:bottom w:val="none" w:sz="0" w:space="0" w:color="auto"/>
            <w:right w:val="none" w:sz="0" w:space="0" w:color="auto"/>
          </w:divBdr>
          <w:divsChild>
            <w:div w:id="1217425797">
              <w:marLeft w:val="0"/>
              <w:marRight w:val="0"/>
              <w:marTop w:val="0"/>
              <w:marBottom w:val="0"/>
              <w:divBdr>
                <w:top w:val="none" w:sz="0" w:space="0" w:color="auto"/>
                <w:left w:val="none" w:sz="0" w:space="0" w:color="auto"/>
                <w:bottom w:val="none" w:sz="0" w:space="0" w:color="auto"/>
                <w:right w:val="none" w:sz="0" w:space="0" w:color="auto"/>
              </w:divBdr>
            </w:div>
          </w:divsChild>
        </w:div>
        <w:div w:id="7761684">
          <w:marLeft w:val="0"/>
          <w:marRight w:val="0"/>
          <w:marTop w:val="0"/>
          <w:marBottom w:val="0"/>
          <w:divBdr>
            <w:top w:val="none" w:sz="0" w:space="0" w:color="auto"/>
            <w:left w:val="none" w:sz="0" w:space="0" w:color="auto"/>
            <w:bottom w:val="none" w:sz="0" w:space="0" w:color="auto"/>
            <w:right w:val="none" w:sz="0" w:space="0" w:color="auto"/>
          </w:divBdr>
        </w:div>
      </w:divsChild>
    </w:div>
    <w:div w:id="1197427330">
      <w:bodyDiv w:val="1"/>
      <w:marLeft w:val="0"/>
      <w:marRight w:val="0"/>
      <w:marTop w:val="0"/>
      <w:marBottom w:val="0"/>
      <w:divBdr>
        <w:top w:val="none" w:sz="0" w:space="0" w:color="auto"/>
        <w:left w:val="none" w:sz="0" w:space="0" w:color="auto"/>
        <w:bottom w:val="none" w:sz="0" w:space="0" w:color="auto"/>
        <w:right w:val="none" w:sz="0" w:space="0" w:color="auto"/>
      </w:divBdr>
      <w:divsChild>
        <w:div w:id="1206335235">
          <w:marLeft w:val="0"/>
          <w:marRight w:val="0"/>
          <w:marTop w:val="0"/>
          <w:marBottom w:val="0"/>
          <w:divBdr>
            <w:top w:val="none" w:sz="0" w:space="0" w:color="auto"/>
            <w:left w:val="none" w:sz="0" w:space="0" w:color="auto"/>
            <w:bottom w:val="none" w:sz="0" w:space="0" w:color="auto"/>
            <w:right w:val="none" w:sz="0" w:space="0" w:color="auto"/>
          </w:divBdr>
        </w:div>
        <w:div w:id="628052143">
          <w:marLeft w:val="0"/>
          <w:marRight w:val="0"/>
          <w:marTop w:val="0"/>
          <w:marBottom w:val="0"/>
          <w:divBdr>
            <w:top w:val="none" w:sz="0" w:space="0" w:color="auto"/>
            <w:left w:val="none" w:sz="0" w:space="0" w:color="auto"/>
            <w:bottom w:val="none" w:sz="0" w:space="0" w:color="auto"/>
            <w:right w:val="none" w:sz="0" w:space="0" w:color="auto"/>
          </w:divBdr>
        </w:div>
      </w:divsChild>
    </w:div>
    <w:div w:id="1224101198">
      <w:bodyDiv w:val="1"/>
      <w:marLeft w:val="0"/>
      <w:marRight w:val="0"/>
      <w:marTop w:val="0"/>
      <w:marBottom w:val="0"/>
      <w:divBdr>
        <w:top w:val="none" w:sz="0" w:space="0" w:color="auto"/>
        <w:left w:val="none" w:sz="0" w:space="0" w:color="auto"/>
        <w:bottom w:val="none" w:sz="0" w:space="0" w:color="auto"/>
        <w:right w:val="none" w:sz="0" w:space="0" w:color="auto"/>
      </w:divBdr>
      <w:divsChild>
        <w:div w:id="1056200533">
          <w:marLeft w:val="0"/>
          <w:marRight w:val="0"/>
          <w:marTop w:val="0"/>
          <w:marBottom w:val="0"/>
          <w:divBdr>
            <w:top w:val="none" w:sz="0" w:space="0" w:color="auto"/>
            <w:left w:val="none" w:sz="0" w:space="0" w:color="auto"/>
            <w:bottom w:val="none" w:sz="0" w:space="0" w:color="auto"/>
            <w:right w:val="none" w:sz="0" w:space="0" w:color="auto"/>
          </w:divBdr>
        </w:div>
      </w:divsChild>
    </w:div>
    <w:div w:id="1260943653">
      <w:bodyDiv w:val="1"/>
      <w:marLeft w:val="0"/>
      <w:marRight w:val="0"/>
      <w:marTop w:val="0"/>
      <w:marBottom w:val="0"/>
      <w:divBdr>
        <w:top w:val="none" w:sz="0" w:space="0" w:color="auto"/>
        <w:left w:val="none" w:sz="0" w:space="0" w:color="auto"/>
        <w:bottom w:val="none" w:sz="0" w:space="0" w:color="auto"/>
        <w:right w:val="none" w:sz="0" w:space="0" w:color="auto"/>
      </w:divBdr>
      <w:divsChild>
        <w:div w:id="846751546">
          <w:marLeft w:val="0"/>
          <w:marRight w:val="0"/>
          <w:marTop w:val="0"/>
          <w:marBottom w:val="0"/>
          <w:divBdr>
            <w:top w:val="none" w:sz="0" w:space="0" w:color="auto"/>
            <w:left w:val="none" w:sz="0" w:space="0" w:color="auto"/>
            <w:bottom w:val="none" w:sz="0" w:space="0" w:color="auto"/>
            <w:right w:val="none" w:sz="0" w:space="0" w:color="auto"/>
          </w:divBdr>
        </w:div>
      </w:divsChild>
    </w:div>
    <w:div w:id="1668048706">
      <w:bodyDiv w:val="1"/>
      <w:marLeft w:val="0"/>
      <w:marRight w:val="0"/>
      <w:marTop w:val="0"/>
      <w:marBottom w:val="0"/>
      <w:divBdr>
        <w:top w:val="none" w:sz="0" w:space="0" w:color="auto"/>
        <w:left w:val="none" w:sz="0" w:space="0" w:color="auto"/>
        <w:bottom w:val="none" w:sz="0" w:space="0" w:color="auto"/>
        <w:right w:val="none" w:sz="0" w:space="0" w:color="auto"/>
      </w:divBdr>
      <w:divsChild>
        <w:div w:id="840579571">
          <w:marLeft w:val="0"/>
          <w:marRight w:val="0"/>
          <w:marTop w:val="0"/>
          <w:marBottom w:val="0"/>
          <w:divBdr>
            <w:top w:val="none" w:sz="0" w:space="0" w:color="auto"/>
            <w:left w:val="none" w:sz="0" w:space="0" w:color="auto"/>
            <w:bottom w:val="none" w:sz="0" w:space="0" w:color="auto"/>
            <w:right w:val="none" w:sz="0" w:space="0" w:color="auto"/>
          </w:divBdr>
        </w:div>
        <w:div w:id="645671014">
          <w:marLeft w:val="0"/>
          <w:marRight w:val="0"/>
          <w:marTop w:val="0"/>
          <w:marBottom w:val="0"/>
          <w:divBdr>
            <w:top w:val="none" w:sz="0" w:space="0" w:color="auto"/>
            <w:left w:val="none" w:sz="0" w:space="0" w:color="auto"/>
            <w:bottom w:val="none" w:sz="0" w:space="0" w:color="auto"/>
            <w:right w:val="none" w:sz="0" w:space="0" w:color="auto"/>
          </w:divBdr>
        </w:div>
        <w:div w:id="136840538">
          <w:marLeft w:val="0"/>
          <w:marRight w:val="0"/>
          <w:marTop w:val="0"/>
          <w:marBottom w:val="0"/>
          <w:divBdr>
            <w:top w:val="none" w:sz="0" w:space="0" w:color="auto"/>
            <w:left w:val="none" w:sz="0" w:space="0" w:color="auto"/>
            <w:bottom w:val="none" w:sz="0" w:space="0" w:color="auto"/>
            <w:right w:val="none" w:sz="0" w:space="0" w:color="auto"/>
          </w:divBdr>
        </w:div>
      </w:divsChild>
    </w:div>
    <w:div w:id="1674452343">
      <w:bodyDiv w:val="1"/>
      <w:marLeft w:val="0"/>
      <w:marRight w:val="0"/>
      <w:marTop w:val="0"/>
      <w:marBottom w:val="0"/>
      <w:divBdr>
        <w:top w:val="none" w:sz="0" w:space="0" w:color="auto"/>
        <w:left w:val="none" w:sz="0" w:space="0" w:color="auto"/>
        <w:bottom w:val="none" w:sz="0" w:space="0" w:color="auto"/>
        <w:right w:val="none" w:sz="0" w:space="0" w:color="auto"/>
      </w:divBdr>
      <w:divsChild>
        <w:div w:id="1455516030">
          <w:marLeft w:val="0"/>
          <w:marRight w:val="0"/>
          <w:marTop w:val="0"/>
          <w:marBottom w:val="0"/>
          <w:divBdr>
            <w:top w:val="none" w:sz="0" w:space="0" w:color="auto"/>
            <w:left w:val="none" w:sz="0" w:space="0" w:color="auto"/>
            <w:bottom w:val="none" w:sz="0" w:space="0" w:color="auto"/>
            <w:right w:val="none" w:sz="0" w:space="0" w:color="auto"/>
          </w:divBdr>
        </w:div>
      </w:divsChild>
    </w:div>
    <w:div w:id="1743944351">
      <w:bodyDiv w:val="1"/>
      <w:marLeft w:val="0"/>
      <w:marRight w:val="0"/>
      <w:marTop w:val="0"/>
      <w:marBottom w:val="0"/>
      <w:divBdr>
        <w:top w:val="none" w:sz="0" w:space="0" w:color="auto"/>
        <w:left w:val="none" w:sz="0" w:space="0" w:color="auto"/>
        <w:bottom w:val="none" w:sz="0" w:space="0" w:color="auto"/>
        <w:right w:val="none" w:sz="0" w:space="0" w:color="auto"/>
      </w:divBdr>
      <w:divsChild>
        <w:div w:id="1961915442">
          <w:marLeft w:val="0"/>
          <w:marRight w:val="0"/>
          <w:marTop w:val="0"/>
          <w:marBottom w:val="0"/>
          <w:divBdr>
            <w:top w:val="none" w:sz="0" w:space="0" w:color="auto"/>
            <w:left w:val="none" w:sz="0" w:space="0" w:color="auto"/>
            <w:bottom w:val="none" w:sz="0" w:space="0" w:color="auto"/>
            <w:right w:val="none" w:sz="0" w:space="0" w:color="auto"/>
          </w:divBdr>
        </w:div>
      </w:divsChild>
    </w:div>
    <w:div w:id="2108118504">
      <w:bodyDiv w:val="1"/>
      <w:marLeft w:val="0"/>
      <w:marRight w:val="0"/>
      <w:marTop w:val="0"/>
      <w:marBottom w:val="0"/>
      <w:divBdr>
        <w:top w:val="none" w:sz="0" w:space="0" w:color="auto"/>
        <w:left w:val="none" w:sz="0" w:space="0" w:color="auto"/>
        <w:bottom w:val="none" w:sz="0" w:space="0" w:color="auto"/>
        <w:right w:val="none" w:sz="0" w:space="0" w:color="auto"/>
      </w:divBdr>
      <w:divsChild>
        <w:div w:id="283467228">
          <w:marLeft w:val="0"/>
          <w:marRight w:val="0"/>
          <w:marTop w:val="0"/>
          <w:marBottom w:val="0"/>
          <w:divBdr>
            <w:top w:val="none" w:sz="0" w:space="0" w:color="auto"/>
            <w:left w:val="none" w:sz="0" w:space="0" w:color="auto"/>
            <w:bottom w:val="none" w:sz="0" w:space="0" w:color="auto"/>
            <w:right w:val="none" w:sz="0" w:space="0" w:color="auto"/>
          </w:divBdr>
        </w:div>
      </w:divsChild>
    </w:div>
    <w:div w:id="2139495941">
      <w:bodyDiv w:val="1"/>
      <w:marLeft w:val="0"/>
      <w:marRight w:val="0"/>
      <w:marTop w:val="0"/>
      <w:marBottom w:val="0"/>
      <w:divBdr>
        <w:top w:val="none" w:sz="0" w:space="0" w:color="auto"/>
        <w:left w:val="none" w:sz="0" w:space="0" w:color="auto"/>
        <w:bottom w:val="none" w:sz="0" w:space="0" w:color="auto"/>
        <w:right w:val="none" w:sz="0" w:space="0" w:color="auto"/>
      </w:divBdr>
      <w:divsChild>
        <w:div w:id="454563950">
          <w:marLeft w:val="0"/>
          <w:marRight w:val="0"/>
          <w:marTop w:val="0"/>
          <w:marBottom w:val="0"/>
          <w:divBdr>
            <w:top w:val="none" w:sz="0" w:space="0" w:color="auto"/>
            <w:left w:val="none" w:sz="0" w:space="0" w:color="auto"/>
            <w:bottom w:val="none" w:sz="0" w:space="0" w:color="auto"/>
            <w:right w:val="none" w:sz="0" w:space="0" w:color="auto"/>
          </w:divBdr>
          <w:divsChild>
            <w:div w:id="880940097">
              <w:marLeft w:val="0"/>
              <w:marRight w:val="0"/>
              <w:marTop w:val="0"/>
              <w:marBottom w:val="0"/>
              <w:divBdr>
                <w:top w:val="none" w:sz="0" w:space="0" w:color="auto"/>
                <w:left w:val="none" w:sz="0" w:space="0" w:color="auto"/>
                <w:bottom w:val="none" w:sz="0" w:space="0" w:color="auto"/>
                <w:right w:val="none" w:sz="0" w:space="0" w:color="auto"/>
              </w:divBdr>
              <w:divsChild>
                <w:div w:id="1468430689">
                  <w:marLeft w:val="0"/>
                  <w:marRight w:val="0"/>
                  <w:marTop w:val="0"/>
                  <w:marBottom w:val="0"/>
                  <w:divBdr>
                    <w:top w:val="none" w:sz="0" w:space="0" w:color="auto"/>
                    <w:left w:val="none" w:sz="0" w:space="0" w:color="auto"/>
                    <w:bottom w:val="none" w:sz="0" w:space="0" w:color="auto"/>
                    <w:right w:val="none" w:sz="0" w:space="0" w:color="auto"/>
                  </w:divBdr>
                  <w:divsChild>
                    <w:div w:id="1583299158">
                      <w:marLeft w:val="0"/>
                      <w:marRight w:val="0"/>
                      <w:marTop w:val="0"/>
                      <w:marBottom w:val="0"/>
                      <w:divBdr>
                        <w:top w:val="none" w:sz="0" w:space="0" w:color="auto"/>
                        <w:left w:val="none" w:sz="0" w:space="0" w:color="auto"/>
                        <w:bottom w:val="none" w:sz="0" w:space="0" w:color="auto"/>
                        <w:right w:val="none" w:sz="0" w:space="0" w:color="auto"/>
                      </w:divBdr>
                    </w:div>
                    <w:div w:id="2141409837">
                      <w:marLeft w:val="0"/>
                      <w:marRight w:val="0"/>
                      <w:marTop w:val="0"/>
                      <w:marBottom w:val="0"/>
                      <w:divBdr>
                        <w:top w:val="none" w:sz="0" w:space="0" w:color="auto"/>
                        <w:left w:val="none" w:sz="0" w:space="0" w:color="auto"/>
                        <w:bottom w:val="none" w:sz="0" w:space="0" w:color="auto"/>
                        <w:right w:val="none" w:sz="0" w:space="0" w:color="auto"/>
                      </w:divBdr>
                    </w:div>
                    <w:div w:id="100008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20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ectator.com/article/a-grim-turning-point-has-been-reached-in-russias-war-on-ukraine/" TargetMode="External"/><Relationship Id="rId18" Type="http://schemas.openxmlformats.org/officeDocument/2006/relationships/hyperlink" Target="https://www.dw.com/en/whats-behind-the-algeria-morocco-rivalry/a-78258062" TargetMode="External"/><Relationship Id="rId26" Type="http://schemas.openxmlformats.org/officeDocument/2006/relationships/hyperlink" Target="https://www.theguardian.com/global-development/2026/jun/10/coltan-drc-m23-global-witness-investigation" TargetMode="External"/><Relationship Id="rId39" Type="http://schemas.openxmlformats.org/officeDocument/2006/relationships/fontTable" Target="fontTable.xml"/><Relationship Id="rId21" Type="http://schemas.openxmlformats.org/officeDocument/2006/relationships/hyperlink" Target="https://www.iiss.org/online-analysis/online-analysis/2026/04/japan-and-australia-in-the-indo-pacific/" TargetMode="External"/><Relationship Id="rId34" Type="http://schemas.openxmlformats.org/officeDocument/2006/relationships/hyperlink" Target="https://www.foreignaffairs.com/podcasts/cuba-next" TargetMode="External"/><Relationship Id="rId7" Type="http://schemas.openxmlformats.org/officeDocument/2006/relationships/hyperlink" Target="https://pfa.net.au/news/football-is-for-everyone-socceroos-send-message-celebrating-multicultural-australia-ahead-of-2026-fifa-world-cup/" TargetMode="External"/><Relationship Id="rId12" Type="http://schemas.openxmlformats.org/officeDocument/2006/relationships/image" Target="media/image4.jpeg"/><Relationship Id="rId17" Type="http://schemas.openxmlformats.org/officeDocument/2006/relationships/image" Target="media/image5.png"/><Relationship Id="rId25" Type="http://schemas.openxmlformats.org/officeDocument/2006/relationships/hyperlink" Target="https://commons.wikimedia.org/wiki/File:Flamingo_Revolution_Tirana_Protest_nr22_June_21_2026_39.jpg" TargetMode="External"/><Relationship Id="rId33" Type="http://schemas.openxmlformats.org/officeDocument/2006/relationships/hyperlink" Target="https://www.theguardian.com/world/2026/jul/21/spanish-hotel-chain-ceases-operations-cuba-sanctions-trump" TargetMode="External"/><Relationship Id="rId38" Type="http://schemas.openxmlformats.org/officeDocument/2006/relationships/hyperlink" Target="https://aiiansw.glueup.com/event/a-visitor-s-view-are-palestinians-in-the-west-bank-subject-to-apartheid-190230/" TargetMode="External"/><Relationship Id="rId2" Type="http://schemas.openxmlformats.org/officeDocument/2006/relationships/styles" Target="styles.xml"/><Relationship Id="rId16" Type="http://schemas.openxmlformats.org/officeDocument/2006/relationships/hyperlink" Target="https://www.latintimes.com/silent-war-venezuelas-gold-troops-move-mafias-flee-investors-wait-597859" TargetMode="External"/><Relationship Id="rId20" Type="http://schemas.openxmlformats.org/officeDocument/2006/relationships/hyperlink" Target="https://www.dw.com/en/whats-behind-the-algeria-morocco-rivalry/a-78258062" TargetMode="External"/><Relationship Id="rId29" Type="http://schemas.openxmlformats.org/officeDocument/2006/relationships/hyperlink" Target="https://www.realinstitutoelcano.org/en/analyses/nepal-elects-its-first-female-prime-minister-on-discord-what-it-reveals-about-social-media-and-democracy/"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ommons.wikimedia.org/wiki/File:SSN-AUKUS_submarine.jpg" TargetMode="External"/><Relationship Id="rId24" Type="http://schemas.openxmlformats.org/officeDocument/2006/relationships/hyperlink" Target="https://www.abc.net.au/listen/programs/if-youre-listening/dua-lipa-and-ivanka-trump-go-head-to-head-in-albania/106972380" TargetMode="External"/><Relationship Id="rId32" Type="http://schemas.openxmlformats.org/officeDocument/2006/relationships/hyperlink" Target="https://www.theguardian.com/commentisfree/2026/aug/08/cdc-abortion-surveillance-schwartz-hawley" TargetMode="External"/><Relationship Id="rId37" Type="http://schemas.openxmlformats.org/officeDocument/2006/relationships/hyperlink" Target="https://apnews.com/article/syria-russia-latakia-tartus-bases-hmeimem-deal-2ade8e8a7da23eae4a90c8070f002a86"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commons.wikimedia.org/w/index.php?search=russia+ukraine+war&amp;title=Special%3AMediaSearch&amp;type=image" TargetMode="External"/><Relationship Id="rId23" Type="http://schemas.openxmlformats.org/officeDocument/2006/relationships/hyperlink" Target="https://www.abc.net.au/listen/programs/if-youre-listening/dua-lipa-and-ivanka-trump-go-head-to-head-in-albania/106972380" TargetMode="External"/><Relationship Id="rId28" Type="http://schemas.openxmlformats.org/officeDocument/2006/relationships/hyperlink" Target="https://www.realinstitutoelcano.org/en/analyses/nepal-elects-its-first-female-prime-minister-on-discord-what-it-reveals-about-social-media-and-democracy/" TargetMode="External"/><Relationship Id="rId36" Type="http://schemas.openxmlformats.org/officeDocument/2006/relationships/hyperlink" Target="https://apnews.com/article/syria-russia-latakia-tartus-bases-hmeimem-deal-2ade8e8a7da23eae4a90c8070f002a86" TargetMode="External"/><Relationship Id="rId10" Type="http://schemas.openxmlformats.org/officeDocument/2006/relationships/hyperlink" Target="https://aukuspublicinquiry.com/" TargetMode="External"/><Relationship Id="rId19" Type="http://schemas.openxmlformats.org/officeDocument/2006/relationships/hyperlink" Target="https://www.dw.com/en/whats-behind-the-algeria-morocco-rivalry/a-78258062" TargetMode="External"/><Relationship Id="rId31" Type="http://schemas.openxmlformats.org/officeDocument/2006/relationships/hyperlink" Target="https://theconversation.com/ships-stuck-in-the-strait-of-hormuz-region-may-be-biosecurity-risks-when-they-leave-what-can-we-do-288551" TargetMode="External"/><Relationship Id="rId4" Type="http://schemas.openxmlformats.org/officeDocument/2006/relationships/webSettings" Target="webSettings.xml"/><Relationship Id="rId9" Type="http://schemas.openxmlformats.org/officeDocument/2006/relationships/hyperlink" Target="https://aukuspublicinquiry.com/" TargetMode="External"/><Relationship Id="rId14" Type="http://schemas.openxmlformats.org/officeDocument/2006/relationships/hyperlink" Target="https://spectator.com/article/a-grim-turning-point-has-been-reached-in-russias-war-on-ukraine/" TargetMode="External"/><Relationship Id="rId22" Type="http://schemas.openxmlformats.org/officeDocument/2006/relationships/image" Target="media/image6.jpeg"/><Relationship Id="rId27" Type="http://schemas.openxmlformats.org/officeDocument/2006/relationships/image" Target="media/image7.jpeg"/><Relationship Id="rId30" Type="http://schemas.openxmlformats.org/officeDocument/2006/relationships/hyperlink" Target="https://commons.wikimedia.org/w/index.php?curid=174785003" TargetMode="External"/><Relationship Id="rId35" Type="http://schemas.openxmlformats.org/officeDocument/2006/relationships/hyperlink" Target="https://www.google.com.au/url?sa=t&amp;rct=j&amp;q=&amp;esrc=s&amp;source=web&amp;cd=&amp;cad=rja&amp;uact=8&amp;ved=2ahUKEwizmLDfjpiWAxWmHEQIHRCNLL8QFnoECBgQAQ&amp;url=https%3A%2F%2Fwww.levernews.com%2Fbig-money-lost-to-abdul-el-sayed-where-will-it-go-next%2F&amp;usg=AOvVaw2tra7rnOHZK2IA_B73Bjr-&amp;opi=89978449" TargetMode="External"/><Relationship Id="rId8"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2704</Words>
  <Characters>14172</Characters>
  <Application>Microsoft Office Word</Application>
  <DocSecurity>0</DocSecurity>
  <Lines>1181</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Sayle</dc:creator>
  <cp:keywords/>
  <dc:description/>
  <cp:lastModifiedBy>Malindi Sayle</cp:lastModifiedBy>
  <cp:revision>2</cp:revision>
  <dcterms:created xsi:type="dcterms:W3CDTF">2026-08-16T01:42:00Z</dcterms:created>
  <dcterms:modified xsi:type="dcterms:W3CDTF">2026-08-16T01:42:00Z</dcterms:modified>
</cp:coreProperties>
</file>