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F44D49" w14:paraId="6C0329F0" w14:textId="77777777" w:rsidTr="00F44D49">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F44D49" w14:paraId="4E805E45"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F44D49" w14:paraId="47ABCAC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F44D49" w14:paraId="3A2D5A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F44D49" w14:paraId="1BF93D29" w14:textId="77777777">
                                <w:tc>
                                  <w:tcPr>
                                    <w:tcW w:w="0" w:type="auto"/>
                                    <w:tcMar>
                                      <w:top w:w="0" w:type="dxa"/>
                                      <w:left w:w="135" w:type="dxa"/>
                                      <w:bottom w:w="0" w:type="dxa"/>
                                      <w:right w:w="135" w:type="dxa"/>
                                    </w:tcMar>
                                    <w:hideMark/>
                                  </w:tcPr>
                                  <w:p w14:paraId="6BD315D3" w14:textId="71BAE8E2" w:rsidR="00F44D49" w:rsidRDefault="00F44D49">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1C101887" wp14:editId="678EF0DB">
                                          <wp:extent cx="6475730" cy="1426210"/>
                                          <wp:effectExtent l="0" t="0" r="127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6210"/>
                                                  </a:xfrm>
                                                  <a:prstGeom prst="rect">
                                                    <a:avLst/>
                                                  </a:prstGeom>
                                                  <a:noFill/>
                                                  <a:ln>
                                                    <a:noFill/>
                                                  </a:ln>
                                                </pic:spPr>
                                              </pic:pic>
                                            </a:graphicData>
                                          </a:graphic>
                                        </wp:inline>
                                      </w:drawing>
                                    </w:r>
                                    <w:r>
                                      <w:fldChar w:fldCharType="end"/>
                                    </w:r>
                                  </w:p>
                                </w:tc>
                              </w:tr>
                            </w:tbl>
                            <w:p w14:paraId="43AC0AF6" w14:textId="77777777" w:rsidR="00F44D49" w:rsidRDefault="00F44D49"/>
                          </w:tc>
                        </w:tr>
                      </w:tbl>
                      <w:p w14:paraId="78FAB577"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7D776E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281A557D" w14:textId="77777777">
                                <w:tc>
                                  <w:tcPr>
                                    <w:tcW w:w="0" w:type="auto"/>
                                    <w:tcMar>
                                      <w:top w:w="0" w:type="dxa"/>
                                      <w:left w:w="270" w:type="dxa"/>
                                      <w:bottom w:w="135" w:type="dxa"/>
                                      <w:right w:w="270" w:type="dxa"/>
                                    </w:tcMar>
                                    <w:hideMark/>
                                  </w:tcPr>
                                  <w:p w14:paraId="45109469" w14:textId="77777777" w:rsidR="00F44D49" w:rsidRDefault="00F44D49">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65 of:</w:t>
                                    </w:r>
                                  </w:p>
                                </w:tc>
                              </w:tr>
                            </w:tbl>
                            <w:p w14:paraId="154E71FB" w14:textId="77777777" w:rsidR="00F44D49" w:rsidRDefault="00F44D49">
                              <w:pPr>
                                <w:rPr>
                                  <w:rFonts w:ascii="Times New Roman" w:hAnsi="Times New Roman"/>
                                </w:rPr>
                              </w:pPr>
                            </w:p>
                          </w:tc>
                        </w:tr>
                      </w:tbl>
                      <w:p w14:paraId="69CF115B"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0831CBB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0526A4EB" w14:textId="77777777">
                                <w:tc>
                                  <w:tcPr>
                                    <w:tcW w:w="0" w:type="auto"/>
                                    <w:hideMark/>
                                  </w:tcPr>
                                  <w:p w14:paraId="47D9AF4B" w14:textId="18378BB9" w:rsidR="00F44D49" w:rsidRDefault="00F44D49">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089A3E6" wp14:editId="54533C27">
                                          <wp:extent cx="6475730" cy="3637280"/>
                                          <wp:effectExtent l="0" t="0" r="127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36918897" w14:textId="77777777" w:rsidR="00F44D49" w:rsidRDefault="00F44D49"/>
                          </w:tc>
                        </w:tr>
                      </w:tbl>
                      <w:p w14:paraId="79602009"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6EF032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44D49" w14:paraId="34738AFA" w14:textId="77777777">
                                <w:tc>
                                  <w:tcPr>
                                    <w:tcW w:w="0" w:type="auto"/>
                                    <w:vAlign w:val="center"/>
                                    <w:hideMark/>
                                  </w:tcPr>
                                  <w:p w14:paraId="77B9F832" w14:textId="77777777" w:rsidR="00F44D49" w:rsidRDefault="00F44D49"/>
                                </w:tc>
                              </w:tr>
                            </w:tbl>
                            <w:p w14:paraId="4FA7798D" w14:textId="77777777" w:rsidR="00F44D49" w:rsidRDefault="00F44D49"/>
                          </w:tc>
                        </w:tr>
                      </w:tbl>
                      <w:p w14:paraId="7A596681"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43EEE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799898F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44D49" w14:paraId="6A984F9E" w14:textId="77777777">
                                      <w:tc>
                                        <w:tcPr>
                                          <w:tcW w:w="0" w:type="auto"/>
                                          <w:shd w:val="clear" w:color="auto" w:fill="4B6AA2"/>
                                          <w:tcMar>
                                            <w:top w:w="270" w:type="dxa"/>
                                            <w:left w:w="270" w:type="dxa"/>
                                            <w:bottom w:w="270" w:type="dxa"/>
                                            <w:right w:w="270" w:type="dxa"/>
                                          </w:tcMar>
                                          <w:hideMark/>
                                        </w:tcPr>
                                        <w:p w14:paraId="52BE538E" w14:textId="77777777" w:rsidR="00F44D49" w:rsidRDefault="00F44D49">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03342DA" w14:textId="77777777" w:rsidR="00F44D49" w:rsidRDefault="00F44D49">
                                    <w:pPr>
                                      <w:rPr>
                                        <w:rFonts w:ascii="Times New Roman" w:hAnsi="Times New Roman"/>
                                      </w:rPr>
                                    </w:pPr>
                                  </w:p>
                                </w:tc>
                              </w:tr>
                            </w:tbl>
                            <w:p w14:paraId="6E30E144" w14:textId="77777777" w:rsidR="00F44D49" w:rsidRDefault="00F44D49"/>
                          </w:tc>
                        </w:tr>
                      </w:tbl>
                      <w:p w14:paraId="5D3F6EC5"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1571F1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605C2B6D" w14:textId="77777777">
                                <w:tc>
                                  <w:tcPr>
                                    <w:tcW w:w="0" w:type="auto"/>
                                    <w:tcMar>
                                      <w:top w:w="0" w:type="dxa"/>
                                      <w:left w:w="270" w:type="dxa"/>
                                      <w:bottom w:w="135" w:type="dxa"/>
                                      <w:right w:w="270" w:type="dxa"/>
                                    </w:tcMar>
                                    <w:hideMark/>
                                  </w:tcPr>
                                  <w:p w14:paraId="658953AE" w14:textId="77777777" w:rsidR="00F44D49" w:rsidRDefault="00F44D49">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explore the relationship between the UK and China, the first year of the AUKUS agreement and the tension between Armenia and Azerbaijan.</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4AFAE00B" w14:textId="77777777" w:rsidR="00F44D49" w:rsidRDefault="00F44D49">
                              <w:pPr>
                                <w:rPr>
                                  <w:rFonts w:ascii="Times New Roman" w:hAnsi="Times New Roman"/>
                                </w:rPr>
                              </w:pPr>
                            </w:p>
                          </w:tc>
                        </w:tr>
                      </w:tbl>
                      <w:p w14:paraId="4F5C871E"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4248957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5BCB9BD9" w14:textId="77777777">
                                <w:tc>
                                  <w:tcPr>
                                    <w:tcW w:w="0" w:type="auto"/>
                                    <w:vAlign w:val="center"/>
                                    <w:hideMark/>
                                  </w:tcPr>
                                  <w:p w14:paraId="2BB86370" w14:textId="77777777" w:rsidR="00F44D49" w:rsidRDefault="00F44D49"/>
                                </w:tc>
                              </w:tr>
                            </w:tbl>
                            <w:p w14:paraId="2D26BDB5" w14:textId="77777777" w:rsidR="00F44D49" w:rsidRDefault="00F44D49"/>
                          </w:tc>
                        </w:tr>
                      </w:tbl>
                      <w:p w14:paraId="759B6985"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F0CB53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44D49" w14:paraId="42BC553C" w14:textId="77777777">
                                <w:tc>
                                  <w:tcPr>
                                    <w:tcW w:w="0" w:type="auto"/>
                                    <w:tcMar>
                                      <w:top w:w="0" w:type="dxa"/>
                                      <w:left w:w="135" w:type="dxa"/>
                                      <w:bottom w:w="135" w:type="dxa"/>
                                      <w:right w:w="135" w:type="dxa"/>
                                    </w:tcMar>
                                    <w:hideMark/>
                                  </w:tcPr>
                                  <w:p w14:paraId="662C0B59" w14:textId="562747CA" w:rsidR="00F44D49" w:rsidRDefault="00F44D49">
                                    <w:r>
                                      <w:lastRenderedPageBreak/>
                                      <w:fldChar w:fldCharType="begin"/>
                                    </w:r>
                                    <w:r>
                                      <w:instrText xml:space="preserve"> INCLUDEPICTURE "https://mcusercontent.com/0e9feb1606f1b4129a8b65828/images/88681707-0e99-9361-eadb-443d98ff3166.jpeg" \* MERGEFORMATINET </w:instrText>
                                    </w:r>
                                    <w:r>
                                      <w:fldChar w:fldCharType="separate"/>
                                    </w:r>
                                    <w:r>
                                      <w:rPr>
                                        <w:noProof/>
                                      </w:rPr>
                                      <w:drawing>
                                        <wp:inline distT="0" distB="0" distL="0" distR="0" wp14:anchorId="2B617284" wp14:editId="31D86855">
                                          <wp:extent cx="6475730" cy="431736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F44D49" w14:paraId="2567AE78" w14:textId="77777777">
                                <w:tc>
                                  <w:tcPr>
                                    <w:tcW w:w="8460" w:type="dxa"/>
                                    <w:tcMar>
                                      <w:top w:w="0" w:type="dxa"/>
                                      <w:left w:w="135" w:type="dxa"/>
                                      <w:bottom w:w="0" w:type="dxa"/>
                                      <w:right w:w="135" w:type="dxa"/>
                                    </w:tcMar>
                                    <w:hideMark/>
                                  </w:tcPr>
                                  <w:p w14:paraId="4E1EBAF5" w14:textId="77777777" w:rsidR="00F44D49" w:rsidRDefault="00F44D49">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30"/>
                                          <w:szCs w:val="30"/>
                                        </w:rPr>
                                        <w:t>UK China Relations</w:t>
                                      </w:r>
                                    </w:hyperlink>
                                    <w:r>
                                      <w:rPr>
                                        <w:rFonts w:ascii="Verdana" w:hAnsi="Verdana"/>
                                        <w:color w:val="000000"/>
                                      </w:rPr>
                                      <w:br/>
                                    </w:r>
                                    <w:r>
                                      <w:rPr>
                                        <w:rFonts w:ascii="Verdana" w:hAnsi="Verdana"/>
                                        <w:color w:val="000000"/>
                                      </w:rPr>
                                      <w:br/>
                                    </w:r>
                                    <w:r>
                                      <w:rPr>
                                        <w:rFonts w:ascii="Helvetica Neue" w:hAnsi="Helvetica Neue"/>
                                        <w:color w:val="000000"/>
                                        <w:sz w:val="18"/>
                                        <w:szCs w:val="18"/>
                                      </w:rPr>
                                      <w:t>In a week when the media has focussed almost exclusively on the funeral of Queen Elizabeth II, some may have remarked on the British move to forbid a Chinese delegation visiting Westminster</w:t>
                                    </w:r>
                                    <w:r>
                                      <w:rPr>
                                        <w:rFonts w:ascii="Verdana" w:hAnsi="Verdana"/>
                                        <w:color w:val="000000"/>
                                      </w:rPr>
                                      <w:t> </w:t>
                                    </w:r>
                                    <w:r>
                                      <w:rPr>
                                        <w:rFonts w:ascii="Helvetica Neue" w:hAnsi="Helvetica Neue"/>
                                        <w:color w:val="000000"/>
                                        <w:sz w:val="18"/>
                                        <w:szCs w:val="18"/>
                                      </w:rPr>
                                      <w:t>Hall to pay their respects to her late majesty.  Kerry Brown, Director of the Lau Institute at Kings College London, </w:t>
                                    </w:r>
                                    <w:hyperlink r:id="rId9" w:tgtFrame="_blank" w:history="1">
                                      <w:r>
                                        <w:rPr>
                                          <w:rStyle w:val="Hyperlink"/>
                                          <w:rFonts w:ascii="Helvetica Neue" w:hAnsi="Helvetica Neue"/>
                                          <w:b/>
                                          <w:bCs/>
                                          <w:color w:val="4C6AA2"/>
                                          <w:sz w:val="18"/>
                                          <w:szCs w:val="18"/>
                                        </w:rPr>
                                        <w:t>has written</w:t>
                                      </w:r>
                                    </w:hyperlink>
                                    <w:r>
                                      <w:rPr>
                                        <w:rFonts w:ascii="Helvetica Neue" w:hAnsi="Helvetica Neue"/>
                                        <w:color w:val="000000"/>
                                        <w:sz w:val="18"/>
                                        <w:szCs w:val="18"/>
                                      </w:rPr>
                                      <w:t> a perceptive review of the development of Britain-China relations published in </w:t>
                                    </w:r>
                                    <w:r>
                                      <w:rPr>
                                        <w:rStyle w:val="Emphasis"/>
                                        <w:rFonts w:ascii="Helvetica Neue" w:hAnsi="Helvetica Neue"/>
                                        <w:color w:val="000000"/>
                                        <w:sz w:val="18"/>
                                        <w:szCs w:val="18"/>
                                      </w:rPr>
                                      <w:t>Inside Story</w:t>
                                    </w:r>
                                    <w:r>
                                      <w:rPr>
                                        <w:rFonts w:ascii="Helvetica Neue" w:hAnsi="Helvetica Neue"/>
                                        <w:color w:val="000000"/>
                                        <w:sz w:val="18"/>
                                        <w:szCs w:val="18"/>
                                      </w:rPr>
                                      <w:t>.  Kerry, who was formerly the Director of the China Centre at the University of Sydney, draws some interesting parallels with Australia in his attack on Britain's China policy, which he describes as "barren, contradictory and self-defeating".  He highly recommends James Curran's recent book, </w:t>
                                    </w:r>
                                    <w:r>
                                      <w:rPr>
                                        <w:rStyle w:val="Emphasis"/>
                                        <w:rFonts w:ascii="Helvetica Neue" w:hAnsi="Helvetica Neue"/>
                                        <w:color w:val="000000"/>
                                        <w:sz w:val="18"/>
                                        <w:szCs w:val="18"/>
                                      </w:rPr>
                                      <w:t>Australia's China Odyssey </w:t>
                                    </w:r>
                                    <w:r>
                                      <w:rPr>
                                        <w:rFonts w:ascii="Helvetica Neue" w:hAnsi="Helvetica Neue"/>
                                        <w:color w:val="000000"/>
                                        <w:sz w:val="18"/>
                                        <w:szCs w:val="18"/>
                                      </w:rPr>
                                      <w:t>(reviewed in an earlier edition of Columns), and says, "Only by facing the past, as James Curran does in this book, can Australia move beyond panicky responses to Beijing’s shrill and unpleasant tone."</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Foreign and Commonwealth Office</w:t>
                                      </w:r>
                                    </w:hyperlink>
                                  </w:p>
                                  <w:p w14:paraId="0BF732E2" w14:textId="77777777" w:rsidR="00F44D49" w:rsidRDefault="00F44D49">
                                    <w:pPr>
                                      <w:spacing w:line="300" w:lineRule="atLeast"/>
                                      <w:jc w:val="both"/>
                                      <w:rPr>
                                        <w:rFonts w:ascii="Verdana" w:hAnsi="Verdana"/>
                                        <w:color w:val="000000"/>
                                      </w:rPr>
                                    </w:pPr>
                                    <w:r>
                                      <w:rPr>
                                        <w:rFonts w:ascii="Verdana" w:hAnsi="Verdana"/>
                                        <w:color w:val="000000"/>
                                      </w:rPr>
                                      <w:t> </w:t>
                                    </w:r>
                                  </w:p>
                                </w:tc>
                              </w:tr>
                            </w:tbl>
                            <w:p w14:paraId="159CE513" w14:textId="77777777" w:rsidR="00F44D49" w:rsidRDefault="00F44D49">
                              <w:pPr>
                                <w:rPr>
                                  <w:rFonts w:ascii="Times New Roman" w:hAnsi="Times New Roman"/>
                                </w:rPr>
                              </w:pPr>
                            </w:p>
                          </w:tc>
                        </w:tr>
                      </w:tbl>
                      <w:p w14:paraId="6590B201"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1CA0E6E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40D59065" w14:textId="77777777">
                                <w:tc>
                                  <w:tcPr>
                                    <w:tcW w:w="0" w:type="auto"/>
                                    <w:vAlign w:val="center"/>
                                    <w:hideMark/>
                                  </w:tcPr>
                                  <w:p w14:paraId="7B09C4F3" w14:textId="77777777" w:rsidR="00F44D49" w:rsidRDefault="00F44D49"/>
                                </w:tc>
                              </w:tr>
                            </w:tbl>
                            <w:p w14:paraId="5C113EBE" w14:textId="77777777" w:rsidR="00F44D49" w:rsidRDefault="00F44D49"/>
                          </w:tc>
                        </w:tr>
                      </w:tbl>
                      <w:p w14:paraId="63C5EFC5"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36FE5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11A3B5D6" w14:textId="77777777">
                                <w:tc>
                                  <w:tcPr>
                                    <w:tcW w:w="0" w:type="auto"/>
                                    <w:tcMar>
                                      <w:top w:w="0" w:type="dxa"/>
                                      <w:left w:w="270" w:type="dxa"/>
                                      <w:bottom w:w="135" w:type="dxa"/>
                                      <w:right w:w="270" w:type="dxa"/>
                                    </w:tcMar>
                                    <w:hideMark/>
                                  </w:tcPr>
                                  <w:p w14:paraId="3B8C54F3" w14:textId="77777777" w:rsidR="00F44D49" w:rsidRDefault="00F44D49">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0839820" w14:textId="77777777" w:rsidR="00F44D49" w:rsidRDefault="00F44D49">
                              <w:pPr>
                                <w:rPr>
                                  <w:rFonts w:ascii="Times New Roman" w:hAnsi="Times New Roman" w:cs="Times New Roman"/>
                                </w:rPr>
                              </w:pPr>
                            </w:p>
                          </w:tc>
                        </w:tr>
                      </w:tbl>
                      <w:p w14:paraId="56B522B6"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2935C85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19DE7B9C" w14:textId="77777777">
                                <w:tc>
                                  <w:tcPr>
                                    <w:tcW w:w="0" w:type="auto"/>
                                    <w:vAlign w:val="center"/>
                                    <w:hideMark/>
                                  </w:tcPr>
                                  <w:p w14:paraId="7E017B27" w14:textId="77777777" w:rsidR="00F44D49" w:rsidRDefault="00F44D49"/>
                                </w:tc>
                              </w:tr>
                            </w:tbl>
                            <w:p w14:paraId="0738CDA4" w14:textId="77777777" w:rsidR="00F44D49" w:rsidRDefault="00F44D49"/>
                          </w:tc>
                        </w:tr>
                      </w:tbl>
                      <w:p w14:paraId="0F54BC68"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A0A00C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44D49" w14:paraId="03E5B262" w14:textId="77777777">
                                <w:tc>
                                  <w:tcPr>
                                    <w:tcW w:w="0" w:type="auto"/>
                                    <w:tcMar>
                                      <w:top w:w="0" w:type="dxa"/>
                                      <w:left w:w="135" w:type="dxa"/>
                                      <w:bottom w:w="135" w:type="dxa"/>
                                      <w:right w:w="135" w:type="dxa"/>
                                    </w:tcMar>
                                    <w:hideMark/>
                                  </w:tcPr>
                                  <w:p w14:paraId="40CC97BB" w14:textId="4C8DE152" w:rsidR="00F44D49" w:rsidRDefault="00F44D49">
                                    <w:r>
                                      <w:fldChar w:fldCharType="begin"/>
                                    </w:r>
                                    <w:r>
                                      <w:instrText xml:space="preserve"> INCLUDEPICTURE "https://mcusercontent.com/0e9feb1606f1b4129a8b65828/_compresseds/19972a21-97a9-5dba-07f5-5dba726a6e5c.jpg" \* MERGEFORMATINET </w:instrText>
                                    </w:r>
                                    <w:r>
                                      <w:fldChar w:fldCharType="separate"/>
                                    </w:r>
                                    <w:r>
                                      <w:rPr>
                                        <w:noProof/>
                                      </w:rPr>
                                      <w:drawing>
                                        <wp:inline distT="0" distB="0" distL="0" distR="0" wp14:anchorId="54730220" wp14:editId="1654C172">
                                          <wp:extent cx="6475730" cy="46158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730" cy="4615815"/>
                                                  </a:xfrm>
                                                  <a:prstGeom prst="rect">
                                                    <a:avLst/>
                                                  </a:prstGeom>
                                                  <a:noFill/>
                                                  <a:ln>
                                                    <a:noFill/>
                                                  </a:ln>
                                                </pic:spPr>
                                              </pic:pic>
                                            </a:graphicData>
                                          </a:graphic>
                                        </wp:inline>
                                      </w:drawing>
                                    </w:r>
                                    <w:r>
                                      <w:fldChar w:fldCharType="end"/>
                                    </w:r>
                                  </w:p>
                                </w:tc>
                              </w:tr>
                              <w:tr w:rsidR="00F44D49" w14:paraId="2B637AC2" w14:textId="77777777">
                                <w:tc>
                                  <w:tcPr>
                                    <w:tcW w:w="8460" w:type="dxa"/>
                                    <w:tcMar>
                                      <w:top w:w="0" w:type="dxa"/>
                                      <w:left w:w="135" w:type="dxa"/>
                                      <w:bottom w:w="0" w:type="dxa"/>
                                      <w:right w:w="135" w:type="dxa"/>
                                    </w:tcMar>
                                    <w:hideMark/>
                                  </w:tcPr>
                                  <w:p w14:paraId="1DF91E17" w14:textId="77777777" w:rsidR="00F44D49" w:rsidRDefault="00F44D49">
                                    <w:pPr>
                                      <w:pStyle w:val="NormalWeb"/>
                                      <w:spacing w:before="150" w:beforeAutospacing="0" w:after="150" w:afterAutospacing="0" w:line="300" w:lineRule="atLeast"/>
                                      <w:rPr>
                                        <w:rFonts w:ascii="Verdana" w:hAnsi="Verdana"/>
                                        <w:color w:val="000000"/>
                                      </w:rPr>
                                    </w:pPr>
                                    <w:hyperlink r:id="rId12" w:history="1">
                                      <w:r>
                                        <w:rPr>
                                          <w:rStyle w:val="Hyperlink"/>
                                          <w:rFonts w:ascii="Helvetica Neue" w:hAnsi="Helvetica Neue"/>
                                          <w:b/>
                                          <w:bCs/>
                                          <w:color w:val="4C6AA2"/>
                                          <w:sz w:val="30"/>
                                          <w:szCs w:val="30"/>
                                        </w:rPr>
                                        <w:t>365 Days of AUKUS: Progress, Challenges and Prospects</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hyperlink r:id="rId13" w:tgtFrame="_blank" w:history="1">
                                      <w:r>
                                        <w:rPr>
                                          <w:rStyle w:val="Hyperlink"/>
                                          <w:rFonts w:ascii="Helvetica Neue" w:hAnsi="Helvetica Neue"/>
                                          <w:b/>
                                          <w:bCs/>
                                          <w:color w:val="4C6AA2"/>
                                          <w:sz w:val="18"/>
                                          <w:szCs w:val="18"/>
                                        </w:rPr>
                                        <w:t>According to</w:t>
                                      </w:r>
                                    </w:hyperlink>
                                    <w:r>
                                      <w:rPr>
                                        <w:rFonts w:ascii="Helvetica Neue" w:hAnsi="Helvetica Neue"/>
                                        <w:color w:val="000000"/>
                                        <w:sz w:val="18"/>
                                        <w:szCs w:val="18"/>
                                      </w:rPr>
                                      <w:t xml:space="preserve"> Peter Lee and Alice </w:t>
                                    </w:r>
                                    <w:proofErr w:type="spellStart"/>
                                    <w:r>
                                      <w:rPr>
                                        <w:rFonts w:ascii="Helvetica Neue" w:hAnsi="Helvetica Neue"/>
                                        <w:color w:val="000000"/>
                                        <w:sz w:val="18"/>
                                        <w:szCs w:val="18"/>
                                      </w:rPr>
                                      <w:t>Nason</w:t>
                                    </w:r>
                                    <w:proofErr w:type="spellEnd"/>
                                    <w:r>
                                      <w:rPr>
                                        <w:rFonts w:ascii="Helvetica Neue" w:hAnsi="Helvetica Neue"/>
                                        <w:color w:val="000000"/>
                                        <w:sz w:val="18"/>
                                        <w:szCs w:val="18"/>
                                      </w:rPr>
                                      <w:t xml:space="preserve"> at the United States Studies Centre, few announcements have inspired as much interest – or misunderstanding – as AUKUS, an ambitious long-term project for Australia to secure itself in a deteriorating security environment. One year on from its announcement, the three AUKUS partners have made meaningful progress around key AUKUS initiatives, giving new gravitas to this monumental security </w:t>
                                    </w:r>
                                    <w:proofErr w:type="gramStart"/>
                                    <w:r>
                                      <w:rPr>
                                        <w:rFonts w:ascii="Helvetica Neue" w:hAnsi="Helvetica Neue"/>
                                        <w:color w:val="000000"/>
                                        <w:sz w:val="18"/>
                                        <w:szCs w:val="18"/>
                                      </w:rPr>
                                      <w:t>arrangement</w:t>
                                    </w:r>
                                    <w:proofErr w:type="gramEnd"/>
                                    <w:r>
                                      <w:rPr>
                                        <w:rFonts w:ascii="Helvetica Neue" w:hAnsi="Helvetica Neue"/>
                                        <w:color w:val="000000"/>
                                        <w:sz w:val="18"/>
                                        <w:szCs w:val="18"/>
                                      </w:rPr>
                                      <w:t xml:space="preserve"> and laying the foundations for the significant AUKUS work ahead. The partnership is now moving from the consultation and scoping phase to the implementation phase. It will be a marathon, not a sprint. And if it fails, the impact on Australia’s capability and credibility will be vast.</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U.S. Navy</w:t>
                                      </w:r>
                                    </w:hyperlink>
                                  </w:p>
                                  <w:p w14:paraId="79040C94" w14:textId="77777777" w:rsidR="00F44D49" w:rsidRDefault="00F44D49">
                                    <w:pPr>
                                      <w:spacing w:line="300" w:lineRule="atLeast"/>
                                      <w:jc w:val="both"/>
                                      <w:rPr>
                                        <w:rFonts w:ascii="Verdana" w:hAnsi="Verdana"/>
                                        <w:color w:val="000000"/>
                                      </w:rPr>
                                    </w:pPr>
                                    <w:r>
                                      <w:rPr>
                                        <w:rFonts w:ascii="Verdana" w:hAnsi="Verdana"/>
                                        <w:color w:val="000000"/>
                                      </w:rPr>
                                      <w:t> </w:t>
                                    </w:r>
                                  </w:p>
                                </w:tc>
                              </w:tr>
                            </w:tbl>
                            <w:p w14:paraId="22693B05" w14:textId="77777777" w:rsidR="00F44D49" w:rsidRDefault="00F44D49">
                              <w:pPr>
                                <w:rPr>
                                  <w:rFonts w:ascii="Times New Roman" w:hAnsi="Times New Roman"/>
                                </w:rPr>
                              </w:pPr>
                            </w:p>
                          </w:tc>
                        </w:tr>
                      </w:tbl>
                      <w:p w14:paraId="2CCD1449"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4F3FE78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774DC196" w14:textId="77777777">
                                <w:tc>
                                  <w:tcPr>
                                    <w:tcW w:w="0" w:type="auto"/>
                                    <w:vAlign w:val="center"/>
                                    <w:hideMark/>
                                  </w:tcPr>
                                  <w:p w14:paraId="528FF242" w14:textId="77777777" w:rsidR="00F44D49" w:rsidRDefault="00F44D49"/>
                                </w:tc>
                              </w:tr>
                            </w:tbl>
                            <w:p w14:paraId="7D08A21B" w14:textId="77777777" w:rsidR="00F44D49" w:rsidRDefault="00F44D49"/>
                          </w:tc>
                        </w:tr>
                      </w:tbl>
                      <w:p w14:paraId="61A15040"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5AF54E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44D49" w14:paraId="36D4BF9B" w14:textId="77777777">
                                <w:tc>
                                  <w:tcPr>
                                    <w:tcW w:w="0" w:type="auto"/>
                                    <w:tcMar>
                                      <w:top w:w="0" w:type="dxa"/>
                                      <w:left w:w="135" w:type="dxa"/>
                                      <w:bottom w:w="135" w:type="dxa"/>
                                      <w:right w:w="135" w:type="dxa"/>
                                    </w:tcMar>
                                    <w:hideMark/>
                                  </w:tcPr>
                                  <w:p w14:paraId="049081EB" w14:textId="5EDCE207" w:rsidR="00F44D49" w:rsidRDefault="00F44D49">
                                    <w:r>
                                      <w:lastRenderedPageBreak/>
                                      <w:fldChar w:fldCharType="begin"/>
                                    </w:r>
                                    <w:r>
                                      <w:instrText xml:space="preserve"> INCLUDEPICTURE "https://mcusercontent.com/0e9feb1606f1b4129a8b65828/images/6d42799b-064c-59fb-6cb3-a66dfd86c88a.jpeg" \* MERGEFORMATINET </w:instrText>
                                    </w:r>
                                    <w:r>
                                      <w:fldChar w:fldCharType="separate"/>
                                    </w:r>
                                    <w:r>
                                      <w:rPr>
                                        <w:noProof/>
                                      </w:rPr>
                                      <w:drawing>
                                        <wp:inline distT="0" distB="0" distL="0" distR="0" wp14:anchorId="5B256D1A" wp14:editId="3C17246B">
                                          <wp:extent cx="6475730" cy="363982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5730" cy="3639820"/>
                                                  </a:xfrm>
                                                  <a:prstGeom prst="rect">
                                                    <a:avLst/>
                                                  </a:prstGeom>
                                                  <a:noFill/>
                                                  <a:ln>
                                                    <a:noFill/>
                                                  </a:ln>
                                                </pic:spPr>
                                              </pic:pic>
                                            </a:graphicData>
                                          </a:graphic>
                                        </wp:inline>
                                      </w:drawing>
                                    </w:r>
                                    <w:r>
                                      <w:fldChar w:fldCharType="end"/>
                                    </w:r>
                                  </w:p>
                                </w:tc>
                              </w:tr>
                              <w:tr w:rsidR="00F44D49" w14:paraId="1D873489" w14:textId="77777777">
                                <w:tc>
                                  <w:tcPr>
                                    <w:tcW w:w="8460" w:type="dxa"/>
                                    <w:tcMar>
                                      <w:top w:w="0" w:type="dxa"/>
                                      <w:left w:w="135" w:type="dxa"/>
                                      <w:bottom w:w="0" w:type="dxa"/>
                                      <w:right w:w="135" w:type="dxa"/>
                                    </w:tcMar>
                                    <w:hideMark/>
                                  </w:tcPr>
                                  <w:p w14:paraId="1AC76FBB" w14:textId="77777777" w:rsidR="00F44D49" w:rsidRDefault="00F44D49">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30"/>
                                          <w:szCs w:val="30"/>
                                        </w:rPr>
                                        <w:t>Armenian and Azerbaijan Fighting Risks Broader Conflict</w:t>
                                      </w:r>
                                    </w:hyperlink>
                                    <w:r>
                                      <w:rPr>
                                        <w:rFonts w:ascii="Verdana" w:hAnsi="Verdana"/>
                                        <w:color w:val="000000"/>
                                      </w:rPr>
                                      <w:br/>
                                    </w:r>
                                    <w:r>
                                      <w:rPr>
                                        <w:rFonts w:ascii="Helvetica Neue" w:hAnsi="Helvetica Neue"/>
                                        <w:color w:val="000000"/>
                                        <w:sz w:val="18"/>
                                        <w:szCs w:val="18"/>
                                      </w:rPr>
                                      <w:t> </w:t>
                                    </w:r>
                                    <w:r>
                                      <w:rPr>
                                        <w:rFonts w:ascii="Verdana" w:hAnsi="Verdana"/>
                                        <w:color w:val="000000"/>
                                      </w:rPr>
                                      <w:br/>
                                    </w:r>
                                    <w:r>
                                      <w:rPr>
                                        <w:rFonts w:ascii="Helvetica Neue" w:hAnsi="Helvetica Neue"/>
                                        <w:color w:val="000000"/>
                                        <w:sz w:val="17"/>
                                        <w:szCs w:val="17"/>
                                      </w:rPr>
                                      <w:t>Historical tensions that led to the </w:t>
                                    </w:r>
                                    <w:hyperlink r:id="rId17" w:tgtFrame="_blank" w:history="1">
                                      <w:r>
                                        <w:rPr>
                                          <w:rStyle w:val="Hyperlink"/>
                                          <w:rFonts w:ascii="Helvetica Neue" w:hAnsi="Helvetica Neue"/>
                                          <w:b/>
                                          <w:bCs/>
                                          <w:color w:val="4C6AA2"/>
                                          <w:sz w:val="17"/>
                                          <w:szCs w:val="17"/>
                                        </w:rPr>
                                        <w:t>death of 100 soldiers</w:t>
                                      </w:r>
                                    </w:hyperlink>
                                    <w:r>
                                      <w:rPr>
                                        <w:rFonts w:ascii="Helvetica Neue" w:hAnsi="Helvetica Neue"/>
                                        <w:color w:val="000000"/>
                                        <w:sz w:val="17"/>
                                        <w:szCs w:val="17"/>
                                      </w:rPr>
                                      <w:t> in the flare up between Armenia and Azerbaijan may indicate a larger risk of further conflict, </w:t>
                                    </w:r>
                                    <w:hyperlink r:id="rId18" w:tgtFrame="_blank" w:history="1">
                                      <w:r>
                                        <w:rPr>
                                          <w:rStyle w:val="Hyperlink"/>
                                          <w:rFonts w:ascii="Helvetica Neue" w:hAnsi="Helvetica Neue"/>
                                          <w:b/>
                                          <w:bCs/>
                                          <w:color w:val="4C6AA2"/>
                                          <w:sz w:val="17"/>
                                          <w:szCs w:val="17"/>
                                        </w:rPr>
                                        <w:t>according to Mary Glantz</w:t>
                                      </w:r>
                                    </w:hyperlink>
                                    <w:r>
                                      <w:rPr>
                                        <w:rFonts w:ascii="Helvetica Neue" w:hAnsi="Helvetica Neue"/>
                                        <w:color w:val="000000"/>
                                        <w:sz w:val="17"/>
                                        <w:szCs w:val="17"/>
                                      </w:rPr>
                                      <w:t xml:space="preserve"> at the United States Institute of Peace. This conflict has simmered for decades in the disputed Nagorno-Karabakh region but the violence of last week is the largest clash since the 2020 war. While the concern is that this will escalate to a similar position as the 2020 conflict that killed over 1,000, Glantz analyses several factors that may prevent another intensification of violence. She discusses the effect of Russia’s invasion of Ukraine, suggesting that Azerbaijan may have initiated these attacks to test Russian military strength. The speed at which the Russian President Putin and Turkish President Erdogan have already attempted to agree to a ceasefire suggests, </w:t>
                                    </w:r>
                                    <w:proofErr w:type="gramStart"/>
                                    <w:r>
                                      <w:rPr>
                                        <w:rFonts w:ascii="Helvetica Neue" w:hAnsi="Helvetica Neue"/>
                                        <w:color w:val="000000"/>
                                        <w:sz w:val="17"/>
                                        <w:szCs w:val="17"/>
                                      </w:rPr>
                                      <w:t>however,  that</w:t>
                                    </w:r>
                                    <w:proofErr w:type="gramEnd"/>
                                    <w:r>
                                      <w:rPr>
                                        <w:rFonts w:ascii="Helvetica Neue" w:hAnsi="Helvetica Neue"/>
                                        <w:color w:val="000000"/>
                                        <w:sz w:val="17"/>
                                        <w:szCs w:val="17"/>
                                      </w:rPr>
                                      <w:t xml:space="preserve"> the heat may be kept in check. Ultimately, Glantz argues, the temporary solutions and ceasefires do not effectively resolve a tension rooted in historical and ethnic tension, requiring future diplomacy rather than military solutions. </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9" w:tgtFrame="_blank" w:history="1">
                                      <w:r>
                                        <w:rPr>
                                          <w:rStyle w:val="Hyperlink"/>
                                          <w:rFonts w:ascii="Helvetica Neue" w:hAnsi="Helvetica Neue"/>
                                          <w:b/>
                                          <w:bCs/>
                                          <w:color w:val="4C6AA2"/>
                                          <w:sz w:val="17"/>
                                          <w:szCs w:val="17"/>
                                        </w:rPr>
                                        <w:t>president.az</w:t>
                                      </w:r>
                                    </w:hyperlink>
                                  </w:p>
                                  <w:p w14:paraId="70162B47" w14:textId="77777777" w:rsidR="00F44D49" w:rsidRDefault="00F44D49">
                                    <w:pPr>
                                      <w:spacing w:line="300" w:lineRule="atLeast"/>
                                      <w:jc w:val="both"/>
                                      <w:rPr>
                                        <w:rFonts w:ascii="Verdana" w:hAnsi="Verdana"/>
                                        <w:color w:val="000000"/>
                                      </w:rPr>
                                    </w:pPr>
                                    <w:r>
                                      <w:rPr>
                                        <w:rFonts w:ascii="Verdana" w:hAnsi="Verdana"/>
                                        <w:color w:val="000000"/>
                                      </w:rPr>
                                      <w:t> </w:t>
                                    </w:r>
                                  </w:p>
                                </w:tc>
                              </w:tr>
                            </w:tbl>
                            <w:p w14:paraId="66F73B6B" w14:textId="77777777" w:rsidR="00F44D49" w:rsidRDefault="00F44D49">
                              <w:pPr>
                                <w:rPr>
                                  <w:rFonts w:ascii="Times New Roman" w:hAnsi="Times New Roman"/>
                                </w:rPr>
                              </w:pPr>
                            </w:p>
                          </w:tc>
                        </w:tr>
                      </w:tbl>
                      <w:p w14:paraId="225A1F3B"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9905F5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49437CE0" w14:textId="77777777">
                                <w:tc>
                                  <w:tcPr>
                                    <w:tcW w:w="0" w:type="auto"/>
                                    <w:vAlign w:val="center"/>
                                    <w:hideMark/>
                                  </w:tcPr>
                                  <w:p w14:paraId="766CDC11" w14:textId="77777777" w:rsidR="00F44D49" w:rsidRDefault="00F44D49"/>
                                </w:tc>
                              </w:tr>
                            </w:tbl>
                            <w:p w14:paraId="3D1A6B3A" w14:textId="77777777" w:rsidR="00F44D49" w:rsidRDefault="00F44D49"/>
                          </w:tc>
                        </w:tr>
                      </w:tbl>
                      <w:p w14:paraId="72A6938C"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7AE323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2EC02890" w14:textId="77777777">
                                <w:tc>
                                  <w:tcPr>
                                    <w:tcW w:w="0" w:type="auto"/>
                                    <w:tcMar>
                                      <w:top w:w="0" w:type="dxa"/>
                                      <w:left w:w="270" w:type="dxa"/>
                                      <w:bottom w:w="135" w:type="dxa"/>
                                      <w:right w:w="270" w:type="dxa"/>
                                    </w:tcMar>
                                    <w:hideMark/>
                                  </w:tcPr>
                                  <w:p w14:paraId="7B77673A" w14:textId="77777777" w:rsidR="00F44D49" w:rsidRDefault="00F44D49">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Isabel </w:t>
                                    </w:r>
                                    <w:proofErr w:type="spellStart"/>
                                    <w:r>
                                      <w:rPr>
                                        <w:rStyle w:val="Emphasis"/>
                                        <w:rFonts w:ascii="Arial" w:hAnsi="Arial" w:cs="Arial"/>
                                        <w:color w:val="000000"/>
                                        <w:sz w:val="17"/>
                                        <w:szCs w:val="17"/>
                                      </w:rPr>
                                      <w:t>Freudenstein</w:t>
                                    </w:r>
                                    <w:proofErr w:type="spellEnd"/>
                                    <w:r>
                                      <w:rPr>
                                        <w:rStyle w:val="Emphasis"/>
                                        <w:rFonts w:ascii="Arial" w:hAnsi="Arial" w:cs="Arial"/>
                                        <w:color w:val="000000"/>
                                        <w:sz w:val="17"/>
                                        <w:szCs w:val="17"/>
                                      </w:rPr>
                                      <w:t xml:space="preserve">, a former intern and studying a Juris Doctor at the University of Sydney. Isabel graduated from the University of Sydney with a </w:t>
                                    </w:r>
                                    <w:proofErr w:type="gramStart"/>
                                    <w:r>
                                      <w:rPr>
                                        <w:rStyle w:val="Emphasis"/>
                                        <w:rFonts w:ascii="Arial" w:hAnsi="Arial" w:cs="Arial"/>
                                        <w:color w:val="000000"/>
                                        <w:sz w:val="17"/>
                                        <w:szCs w:val="17"/>
                                      </w:rPr>
                                      <w:t>first-class honours</w:t>
                                    </w:r>
                                    <w:proofErr w:type="gramEnd"/>
                                    <w:r>
                                      <w:rPr>
                                        <w:rStyle w:val="Emphasis"/>
                                        <w:rFonts w:ascii="Arial" w:hAnsi="Arial" w:cs="Arial"/>
                                        <w:color w:val="000000"/>
                                        <w:sz w:val="17"/>
                                        <w:szCs w:val="17"/>
                                      </w:rPr>
                                      <w:t xml:space="preserve"> in International Relations and a Bachelor of Arts/Advanced Studies in Politics and International Relations. Her thesis examined the changing nature of humanitarian intervention in a multipolar international system. Her main areas of interest include norms of international behaviour, international organisations, </w:t>
                                    </w:r>
                                    <w:proofErr w:type="gramStart"/>
                                    <w:r>
                                      <w:rPr>
                                        <w:rStyle w:val="Emphasis"/>
                                        <w:rFonts w:ascii="Arial" w:hAnsi="Arial" w:cs="Arial"/>
                                        <w:color w:val="000000"/>
                                        <w:sz w:val="17"/>
                                        <w:szCs w:val="17"/>
                                      </w:rPr>
                                      <w:t>gender</w:t>
                                    </w:r>
                                    <w:proofErr w:type="gramEnd"/>
                                    <w:r>
                                      <w:rPr>
                                        <w:rStyle w:val="Emphasis"/>
                                        <w:rFonts w:ascii="Arial" w:hAnsi="Arial" w:cs="Arial"/>
                                        <w:color w:val="000000"/>
                                        <w:sz w:val="17"/>
                                        <w:szCs w:val="17"/>
                                      </w:rPr>
                                      <w:t xml:space="preserve"> and migration.</w:t>
                                    </w:r>
                                  </w:p>
                                </w:tc>
                              </w:tr>
                            </w:tbl>
                            <w:p w14:paraId="1CE0E5F8" w14:textId="77777777" w:rsidR="00F44D49" w:rsidRDefault="00F44D49">
                              <w:pPr>
                                <w:rPr>
                                  <w:rFonts w:ascii="Times New Roman" w:hAnsi="Times New Roman" w:cs="Times New Roman"/>
                                </w:rPr>
                              </w:pPr>
                            </w:p>
                          </w:tc>
                        </w:tr>
                      </w:tbl>
                      <w:p w14:paraId="76E0441C"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541E5AC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44D49" w14:paraId="1FB41DC8" w14:textId="77777777">
                                <w:tc>
                                  <w:tcPr>
                                    <w:tcW w:w="0" w:type="auto"/>
                                    <w:vAlign w:val="center"/>
                                    <w:hideMark/>
                                  </w:tcPr>
                                  <w:p w14:paraId="14A1D6A4" w14:textId="77777777" w:rsidR="00F44D49" w:rsidRDefault="00F44D49"/>
                                </w:tc>
                              </w:tr>
                            </w:tbl>
                            <w:p w14:paraId="5BE75114" w14:textId="77777777" w:rsidR="00F44D49" w:rsidRDefault="00F44D49"/>
                          </w:tc>
                        </w:tr>
                      </w:tbl>
                      <w:p w14:paraId="2B8DA7CA"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57A712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0878D22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44D49" w14:paraId="3C112A17" w14:textId="77777777">
                                      <w:tc>
                                        <w:tcPr>
                                          <w:tcW w:w="0" w:type="auto"/>
                                          <w:shd w:val="clear" w:color="auto" w:fill="4B6AA2"/>
                                          <w:tcMar>
                                            <w:top w:w="270" w:type="dxa"/>
                                            <w:left w:w="270" w:type="dxa"/>
                                            <w:bottom w:w="270" w:type="dxa"/>
                                            <w:right w:w="270" w:type="dxa"/>
                                          </w:tcMar>
                                          <w:hideMark/>
                                        </w:tcPr>
                                        <w:p w14:paraId="746AB0E5" w14:textId="77777777" w:rsidR="00F44D49" w:rsidRDefault="00F44D49">
                                          <w:pPr>
                                            <w:spacing w:line="315" w:lineRule="atLeast"/>
                                            <w:jc w:val="center"/>
                                            <w:rPr>
                                              <w:rFonts w:ascii="Helvetica" w:hAnsi="Helvetica"/>
                                              <w:color w:val="F2F2F2"/>
                                              <w:sz w:val="21"/>
                                              <w:szCs w:val="21"/>
                                            </w:rPr>
                                          </w:pPr>
                                          <w:r>
                                            <w:rPr>
                                              <w:rStyle w:val="Strong"/>
                                              <w:rFonts w:ascii="Helvetica" w:hAnsi="Helvetica"/>
                                              <w:color w:val="F2F2F2"/>
                                              <w:sz w:val="36"/>
                                              <w:szCs w:val="36"/>
                                            </w:rPr>
                                            <w:lastRenderedPageBreak/>
                                            <w:t>From the Interns</w:t>
                                          </w:r>
                                        </w:p>
                                      </w:tc>
                                    </w:tr>
                                  </w:tbl>
                                  <w:p w14:paraId="79889995" w14:textId="77777777" w:rsidR="00F44D49" w:rsidRDefault="00F44D49">
                                    <w:pPr>
                                      <w:rPr>
                                        <w:rFonts w:ascii="Times New Roman" w:hAnsi="Times New Roman"/>
                                      </w:rPr>
                                    </w:pPr>
                                  </w:p>
                                </w:tc>
                              </w:tr>
                            </w:tbl>
                            <w:p w14:paraId="1E23FBAA" w14:textId="77777777" w:rsidR="00F44D49" w:rsidRDefault="00F44D49"/>
                          </w:tc>
                        </w:tr>
                      </w:tbl>
                      <w:p w14:paraId="25533764"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7F9A53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573F5158" w14:textId="77777777">
                                <w:tc>
                                  <w:tcPr>
                                    <w:tcW w:w="0" w:type="auto"/>
                                    <w:tcMar>
                                      <w:top w:w="0" w:type="dxa"/>
                                      <w:left w:w="270" w:type="dxa"/>
                                      <w:bottom w:w="135" w:type="dxa"/>
                                      <w:right w:w="270" w:type="dxa"/>
                                    </w:tcMar>
                                    <w:hideMark/>
                                  </w:tcPr>
                                  <w:p w14:paraId="0480AB7B" w14:textId="77777777" w:rsidR="00F44D49" w:rsidRDefault="00F44D49">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w:t>
                                    </w:r>
                                    <w:r>
                                      <w:rPr>
                                        <w:rFonts w:ascii="Helvetica Neue" w:hAnsi="Helvetica Neue"/>
                                        <w:color w:val="222222"/>
                                        <w:sz w:val="17"/>
                                        <w:szCs w:val="17"/>
                                      </w:rPr>
                                      <w:t xml:space="preserve">Ralph </w:t>
                                    </w:r>
                                    <w:proofErr w:type="spellStart"/>
                                    <w:r>
                                      <w:rPr>
                                        <w:rFonts w:ascii="Helvetica Neue" w:hAnsi="Helvetica Neue"/>
                                        <w:color w:val="222222"/>
                                        <w:sz w:val="17"/>
                                        <w:szCs w:val="17"/>
                                      </w:rPr>
                                      <w:t>Housego</w:t>
                                    </w:r>
                                    <w:proofErr w:type="spellEnd"/>
                                    <w:r>
                                      <w:rPr>
                                        <w:rFonts w:ascii="Helvetica Neue" w:hAnsi="Helvetica Neue"/>
                                        <w:color w:val="222222"/>
                                        <w:sz w:val="18"/>
                                        <w:szCs w:val="18"/>
                                      </w:rPr>
                                      <w:t> and Oliver Owen explore federalism in the US and the development of Tik-Tok as a tool for digital searching. </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332077A2" w14:textId="77777777" w:rsidR="00F44D49" w:rsidRDefault="00F44D49">
                              <w:pPr>
                                <w:rPr>
                                  <w:rFonts w:ascii="Times New Roman" w:hAnsi="Times New Roman"/>
                                </w:rPr>
                              </w:pPr>
                            </w:p>
                          </w:tc>
                        </w:tr>
                      </w:tbl>
                      <w:p w14:paraId="5E803532"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01FBD3E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5FEBD7C0" w14:textId="77777777">
                                <w:tc>
                                  <w:tcPr>
                                    <w:tcW w:w="0" w:type="auto"/>
                                    <w:vAlign w:val="center"/>
                                    <w:hideMark/>
                                  </w:tcPr>
                                  <w:p w14:paraId="7785B7DF" w14:textId="77777777" w:rsidR="00F44D49" w:rsidRDefault="00F44D49"/>
                                </w:tc>
                              </w:tr>
                            </w:tbl>
                            <w:p w14:paraId="75C0D6C2" w14:textId="77777777" w:rsidR="00F44D49" w:rsidRDefault="00F44D49"/>
                          </w:tc>
                        </w:tr>
                      </w:tbl>
                      <w:p w14:paraId="34FD0F79"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BB9866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44D49" w14:paraId="2CE8A281" w14:textId="77777777">
                                <w:tc>
                                  <w:tcPr>
                                    <w:tcW w:w="0" w:type="auto"/>
                                    <w:tcMar>
                                      <w:top w:w="0" w:type="dxa"/>
                                      <w:left w:w="135" w:type="dxa"/>
                                      <w:bottom w:w="135" w:type="dxa"/>
                                      <w:right w:w="135" w:type="dxa"/>
                                    </w:tcMar>
                                    <w:hideMark/>
                                  </w:tcPr>
                                  <w:p w14:paraId="6B476488" w14:textId="1D64094A" w:rsidR="00F44D49" w:rsidRDefault="00F44D49">
                                    <w:pPr>
                                      <w:jc w:val="right"/>
                                    </w:pPr>
                                    <w:r>
                                      <w:fldChar w:fldCharType="begin"/>
                                    </w:r>
                                    <w:r>
                                      <w:instrText xml:space="preserve"> INCLUDEPICTURE "https://mcusercontent.com/0e9feb1606f1b4129a8b65828/images/439821ba-fd28-257c-5763-a5cfd13d92a1.jpg" \* MERGEFORMATINET </w:instrText>
                                    </w:r>
                                    <w:r>
                                      <w:fldChar w:fldCharType="separate"/>
                                    </w:r>
                                    <w:r>
                                      <w:rPr>
                                        <w:noProof/>
                                      </w:rPr>
                                      <w:drawing>
                                        <wp:inline distT="0" distB="0" distL="0" distR="0" wp14:anchorId="45D7525D" wp14:editId="4BF1FC2C">
                                          <wp:extent cx="6475730" cy="43173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4317365"/>
                                                  </a:xfrm>
                                                  <a:prstGeom prst="rect">
                                                    <a:avLst/>
                                                  </a:prstGeom>
                                                  <a:noFill/>
                                                  <a:ln>
                                                    <a:noFill/>
                                                  </a:ln>
                                                </pic:spPr>
                                              </pic:pic>
                                            </a:graphicData>
                                          </a:graphic>
                                        </wp:inline>
                                      </w:drawing>
                                    </w:r>
                                    <w:r>
                                      <w:fldChar w:fldCharType="end"/>
                                    </w:r>
                                  </w:p>
                                </w:tc>
                              </w:tr>
                              <w:tr w:rsidR="00F44D49" w14:paraId="20E2D511" w14:textId="77777777">
                                <w:tc>
                                  <w:tcPr>
                                    <w:tcW w:w="8460" w:type="dxa"/>
                                    <w:tcMar>
                                      <w:top w:w="0" w:type="dxa"/>
                                      <w:left w:w="135" w:type="dxa"/>
                                      <w:bottom w:w="0" w:type="dxa"/>
                                      <w:right w:w="135" w:type="dxa"/>
                                    </w:tcMar>
                                    <w:hideMark/>
                                  </w:tcPr>
                                  <w:p w14:paraId="73AEF452" w14:textId="77777777" w:rsidR="00F44D49" w:rsidRDefault="00F44D49">
                                    <w:pPr>
                                      <w:pStyle w:val="Heading1"/>
                                      <w:spacing w:before="0" w:beforeAutospacing="0" w:after="0" w:afterAutospacing="0" w:line="488" w:lineRule="atLeast"/>
                                      <w:rPr>
                                        <w:rFonts w:ascii="Arial" w:hAnsi="Arial" w:cs="Arial"/>
                                        <w:color w:val="4C6AA2"/>
                                        <w:spacing w:val="-15"/>
                                        <w:sz w:val="39"/>
                                        <w:szCs w:val="39"/>
                                      </w:rPr>
                                    </w:pPr>
                                    <w:hyperlink r:id="rId21" w:tgtFrame="_blank" w:history="1">
                                      <w:r>
                                        <w:rPr>
                                          <w:rStyle w:val="Hyperlink"/>
                                          <w:rFonts w:ascii="Helvetica Neue" w:hAnsi="Helvetica Neue" w:cs="Arial"/>
                                          <w:color w:val="4C6AA2"/>
                                          <w:spacing w:val="-15"/>
                                          <w:sz w:val="30"/>
                                          <w:szCs w:val="30"/>
                                        </w:rPr>
                                        <w:t>The Fractured Superpower: Federalism Is Remaking US Democracy and Foreign Policy</w:t>
                                      </w:r>
                                    </w:hyperlink>
                                  </w:p>
                                  <w:p w14:paraId="19DFD63E" w14:textId="77777777" w:rsidR="00F44D49" w:rsidRDefault="00F44D49">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While the federal government has always had jurisdiction over the United States’ foreign affairs, US states are increasingly acting with greater agency on both federal matters at home and international matters abroad. In </w:t>
                                    </w:r>
                                    <w:hyperlink r:id="rId22" w:tgtFrame="_blank" w:history="1">
                                      <w:r>
                                        <w:rPr>
                                          <w:rStyle w:val="Emphasis"/>
                                          <w:rFonts w:ascii="Helvetica Neue" w:hAnsi="Helvetica Neue"/>
                                          <w:b/>
                                          <w:bCs/>
                                          <w:color w:val="4C6AA2"/>
                                          <w:sz w:val="18"/>
                                          <w:szCs w:val="18"/>
                                        </w:rPr>
                                        <w:t>Foreign Affairs</w:t>
                                      </w:r>
                                    </w:hyperlink>
                                    <w:r>
                                      <w:rPr>
                                        <w:rFonts w:ascii="Helvetica Neue" w:hAnsi="Helvetica Neue"/>
                                        <w:color w:val="222222"/>
                                        <w:sz w:val="18"/>
                                        <w:szCs w:val="18"/>
                                      </w:rPr>
                                      <w:t xml:space="preserve">, Jenna Bednar and Mariano-Florentino </w:t>
                                    </w:r>
                                    <w:proofErr w:type="spellStart"/>
                                    <w:r>
                                      <w:rPr>
                                        <w:rFonts w:ascii="Helvetica Neue" w:hAnsi="Helvetica Neue"/>
                                        <w:color w:val="222222"/>
                                        <w:sz w:val="18"/>
                                        <w:szCs w:val="18"/>
                                      </w:rPr>
                                      <w:t>Cuéllar</w:t>
                                    </w:r>
                                    <w:proofErr w:type="spellEnd"/>
                                    <w:r>
                                      <w:rPr>
                                        <w:rFonts w:ascii="Helvetica Neue" w:hAnsi="Helvetica Neue"/>
                                        <w:color w:val="222222"/>
                                        <w:sz w:val="18"/>
                                        <w:szCs w:val="18"/>
                                      </w:rPr>
                                      <w:t xml:space="preserve"> write that the perception of the US government as the country’s preeminent source of policy direction is becoming increasingly flawed as states begin to fill the policy vacuums left by </w:t>
                                    </w:r>
                                    <w:r>
                                      <w:rPr>
                                        <w:rFonts w:ascii="Helvetica Neue" w:hAnsi="Helvetica Neue"/>
                                        <w:color w:val="222222"/>
                                        <w:sz w:val="18"/>
                                        <w:szCs w:val="18"/>
                                      </w:rPr>
                                      <w:lastRenderedPageBreak/>
                                      <w:t>partisan gridlock in Washington. Noting such examples as the California-Quebec cap-and-trade agreement, which created the largest carbon market in North America, and broader successful industry, research and environmental partnerships between states and foreign jurisdictions, the article argues there are many benefits of a greater foreign policy role for states. On domestic matters, states are often more politically stable than their federal counterparts, which creates opportunities for greater policy innovation that could drive international partnerships in key areas as well as act as a bulwark against potential acts of bolder federal partisanship (consider how many states resisted attempts to subvert the 2020 election). However, the authors recognise the inherent risks of an increasing political gap between Washington and the states, writing “If functional federalism is a strategic asset, dysfunctional federalism could be a recipe for weakening US power.”  </w:t>
                                    </w:r>
                                    <w:r>
                                      <w:rPr>
                                        <w:rFonts w:ascii="Helvetica Neue" w:hAnsi="Helvetica Neue"/>
                                        <w:color w:val="222222"/>
                                      </w:rPr>
                                      <w:br/>
                                    </w:r>
                                    <w:r>
                                      <w:rPr>
                                        <w:rFonts w:ascii="Helvetica Neue" w:hAnsi="Helvetica Neue"/>
                                        <w:color w:val="222222"/>
                                      </w:rPr>
                                      <w:br/>
                                    </w:r>
                                    <w:r>
                                      <w:rPr>
                                        <w:rFonts w:ascii="Helvetica Neue" w:hAnsi="Helvetica Neue"/>
                                        <w:color w:val="222222"/>
                                        <w:sz w:val="17"/>
                                        <w:szCs w:val="17"/>
                                      </w:rPr>
                                      <w:t>Image credit: </w:t>
                                    </w:r>
                                    <w:hyperlink r:id="rId23" w:tgtFrame="_blank" w:history="1">
                                      <w:r>
                                        <w:rPr>
                                          <w:rStyle w:val="Hyperlink"/>
                                          <w:rFonts w:ascii="Helvetica Neue" w:hAnsi="Helvetica Neue"/>
                                          <w:b/>
                                          <w:bCs/>
                                          <w:color w:val="4C6AA2"/>
                                          <w:sz w:val="17"/>
                                          <w:szCs w:val="17"/>
                                        </w:rPr>
                                        <w:t xml:space="preserve">Mike </w:t>
                                      </w:r>
                                      <w:proofErr w:type="spellStart"/>
                                      <w:r>
                                        <w:rPr>
                                          <w:rStyle w:val="Hyperlink"/>
                                          <w:rFonts w:ascii="Helvetica Neue" w:hAnsi="Helvetica Neue"/>
                                          <w:b/>
                                          <w:bCs/>
                                          <w:color w:val="4C6AA2"/>
                                          <w:sz w:val="17"/>
                                          <w:szCs w:val="17"/>
                                        </w:rPr>
                                        <w:t>Rastiollo</w:t>
                                      </w:r>
                                      <w:proofErr w:type="spellEnd"/>
                                      <w:r>
                                        <w:rPr>
                                          <w:rStyle w:val="Hyperlink"/>
                                          <w:rFonts w:ascii="Helvetica Neue" w:hAnsi="Helvetica Neue"/>
                                          <w:b/>
                                          <w:bCs/>
                                          <w:color w:val="4C6AA2"/>
                                          <w:sz w:val="17"/>
                                          <w:szCs w:val="17"/>
                                        </w:rPr>
                                        <w:t> </w:t>
                                      </w:r>
                                    </w:hyperlink>
                                  </w:p>
                                  <w:p w14:paraId="3B2AC418" w14:textId="77777777" w:rsidR="00F44D49" w:rsidRDefault="00F44D49" w:rsidP="00F44D49">
                                    <w:pPr>
                                      <w:spacing w:line="300" w:lineRule="atLeast"/>
                                      <w:rPr>
                                        <w:rFonts w:ascii="Verdana" w:hAnsi="Verdana"/>
                                        <w:color w:val="222222"/>
                                      </w:rPr>
                                    </w:pPr>
                                    <w:r>
                                      <w:rPr>
                                        <w:rFonts w:ascii="Verdana" w:hAnsi="Verdana"/>
                                        <w:color w:val="222222"/>
                                      </w:rPr>
                                      <w:t> </w:t>
                                    </w:r>
                                  </w:p>
                                  <w:p w14:paraId="72B18FB4" w14:textId="77777777" w:rsidR="00F44D49" w:rsidRDefault="00F44D49" w:rsidP="00F44D49">
                                    <w:pPr>
                                      <w:spacing w:line="300" w:lineRule="atLeast"/>
                                      <w:rPr>
                                        <w:rFonts w:ascii="Verdana" w:hAnsi="Verdana"/>
                                        <w:color w:val="222222"/>
                                      </w:rPr>
                                    </w:pPr>
                                    <w:r>
                                      <w:rPr>
                                        <w:rFonts w:ascii="Verdana" w:hAnsi="Verdana"/>
                                        <w:color w:val="222222"/>
                                      </w:rPr>
                                      <w:t> </w:t>
                                    </w:r>
                                  </w:p>
                                </w:tc>
                              </w:tr>
                            </w:tbl>
                            <w:p w14:paraId="3914BD93" w14:textId="77777777" w:rsidR="00F44D49" w:rsidRDefault="00F44D49">
                              <w:pPr>
                                <w:rPr>
                                  <w:rFonts w:ascii="Times New Roman" w:hAnsi="Times New Roman"/>
                                </w:rPr>
                              </w:pPr>
                            </w:p>
                          </w:tc>
                        </w:tr>
                      </w:tbl>
                      <w:p w14:paraId="4766A4CA"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24B7746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15B64458" w14:textId="77777777">
                                <w:tc>
                                  <w:tcPr>
                                    <w:tcW w:w="0" w:type="auto"/>
                                    <w:vAlign w:val="center"/>
                                    <w:hideMark/>
                                  </w:tcPr>
                                  <w:p w14:paraId="47CCC534" w14:textId="77777777" w:rsidR="00F44D49" w:rsidRDefault="00F44D49"/>
                                </w:tc>
                              </w:tr>
                            </w:tbl>
                            <w:p w14:paraId="0C689F64" w14:textId="77777777" w:rsidR="00F44D49" w:rsidRDefault="00F44D49"/>
                          </w:tc>
                        </w:tr>
                      </w:tbl>
                      <w:p w14:paraId="2CF877CB"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59E802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6C7FFDE1" w14:textId="77777777">
                                <w:tc>
                                  <w:tcPr>
                                    <w:tcW w:w="0" w:type="auto"/>
                                    <w:tcMar>
                                      <w:top w:w="0" w:type="dxa"/>
                                      <w:left w:w="270" w:type="dxa"/>
                                      <w:bottom w:w="135" w:type="dxa"/>
                                      <w:right w:w="270" w:type="dxa"/>
                                    </w:tcMar>
                                    <w:hideMark/>
                                  </w:tcPr>
                                  <w:p w14:paraId="53187652" w14:textId="77777777" w:rsidR="00F44D49" w:rsidRDefault="00F44D49">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Ralph </w:t>
                                    </w:r>
                                    <w:proofErr w:type="spellStart"/>
                                    <w:r>
                                      <w:rPr>
                                        <w:rStyle w:val="Emphasis"/>
                                        <w:rFonts w:ascii="Arial" w:hAnsi="Arial" w:cs="Arial"/>
                                        <w:color w:val="000000"/>
                                        <w:sz w:val="17"/>
                                        <w:szCs w:val="17"/>
                                      </w:rPr>
                                      <w:t>Housego</w:t>
                                    </w:r>
                                    <w:proofErr w:type="spellEnd"/>
                                    <w:r>
                                      <w:rPr>
                                        <w:rStyle w:val="Emphasis"/>
                                        <w:rFonts w:ascii="Arial" w:hAnsi="Arial" w:cs="Arial"/>
                                        <w:color w:val="000000"/>
                                        <w:sz w:val="17"/>
                                        <w:szCs w:val="17"/>
                                      </w:rPr>
                                      <w:t xml:space="preserve">. Ralph is a fourth-year student at the University of Sydney studying a Bachelor of Arts/Advanced Studies (Politics and International Relations, Political Economy). Ralph currently works as a media analyst at </w:t>
                                    </w:r>
                                    <w:proofErr w:type="spellStart"/>
                                    <w:r>
                                      <w:rPr>
                                        <w:rStyle w:val="Emphasis"/>
                                        <w:rFonts w:ascii="Arial" w:hAnsi="Arial" w:cs="Arial"/>
                                        <w:color w:val="000000"/>
                                        <w:sz w:val="17"/>
                                        <w:szCs w:val="17"/>
                                      </w:rPr>
                                      <w:t>GRACosway</w:t>
                                    </w:r>
                                    <w:proofErr w:type="spellEnd"/>
                                    <w:r>
                                      <w:rPr>
                                        <w:rStyle w:val="Emphasis"/>
                                        <w:rFonts w:ascii="Arial" w:hAnsi="Arial" w:cs="Arial"/>
                                        <w:color w:val="000000"/>
                                        <w:sz w:val="17"/>
                                        <w:szCs w:val="17"/>
                                      </w:rPr>
                                      <w:t>, a strategic communications and public affairs consulting firm, and as a research assistant at the digital government advocacy platform, Advoc8. Ralph’s areas of interest centre on Australia’s trading relationships with its Indo-Pacific neighbours as well as broader geostrategic and economic issues in the region.</w:t>
                                    </w:r>
                                  </w:p>
                                </w:tc>
                              </w:tr>
                            </w:tbl>
                            <w:p w14:paraId="053B95A1" w14:textId="77777777" w:rsidR="00F44D49" w:rsidRDefault="00F44D49">
                              <w:pPr>
                                <w:rPr>
                                  <w:rFonts w:ascii="Times New Roman" w:hAnsi="Times New Roman" w:cs="Times New Roman"/>
                                </w:rPr>
                              </w:pPr>
                            </w:p>
                          </w:tc>
                        </w:tr>
                      </w:tbl>
                      <w:p w14:paraId="34BE619B"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161387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2984A1BC" w14:textId="77777777">
                                <w:tc>
                                  <w:tcPr>
                                    <w:tcW w:w="0" w:type="auto"/>
                                    <w:vAlign w:val="center"/>
                                    <w:hideMark/>
                                  </w:tcPr>
                                  <w:p w14:paraId="06B359B1" w14:textId="77777777" w:rsidR="00F44D49" w:rsidRDefault="00F44D49"/>
                                </w:tc>
                              </w:tr>
                            </w:tbl>
                            <w:p w14:paraId="603D793E" w14:textId="77777777" w:rsidR="00F44D49" w:rsidRDefault="00F44D49"/>
                          </w:tc>
                        </w:tr>
                      </w:tbl>
                      <w:p w14:paraId="79BFC0C9"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01AB075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F44D49" w14:paraId="45406691" w14:textId="77777777">
                                <w:tc>
                                  <w:tcPr>
                                    <w:tcW w:w="0" w:type="auto"/>
                                    <w:tcMar>
                                      <w:top w:w="0" w:type="dxa"/>
                                      <w:left w:w="135" w:type="dxa"/>
                                      <w:bottom w:w="135" w:type="dxa"/>
                                      <w:right w:w="135" w:type="dxa"/>
                                    </w:tcMar>
                                    <w:hideMark/>
                                  </w:tcPr>
                                  <w:p w14:paraId="4C53C885" w14:textId="6E92B54A" w:rsidR="00F44D49" w:rsidRDefault="00F44D49">
                                    <w:pPr>
                                      <w:jc w:val="right"/>
                                    </w:pPr>
                                    <w:r>
                                      <w:fldChar w:fldCharType="begin"/>
                                    </w:r>
                                    <w:r>
                                      <w:instrText xml:space="preserve"> INCLUDEPICTURE "https://mcusercontent.com/0e9feb1606f1b4129a8b65828/images/4c99885e-355f-a8d9-66df-c8133b217b6d.jpeg" \* MERGEFORMATINET </w:instrText>
                                    </w:r>
                                    <w:r>
                                      <w:fldChar w:fldCharType="separate"/>
                                    </w:r>
                                    <w:r>
                                      <w:rPr>
                                        <w:noProof/>
                                      </w:rPr>
                                      <w:drawing>
                                        <wp:inline distT="0" distB="0" distL="0" distR="0" wp14:anchorId="707FA468" wp14:editId="20BC3039">
                                          <wp:extent cx="6475730" cy="3639820"/>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5730" cy="3639820"/>
                                                  </a:xfrm>
                                                  <a:prstGeom prst="rect">
                                                    <a:avLst/>
                                                  </a:prstGeom>
                                                  <a:noFill/>
                                                  <a:ln>
                                                    <a:noFill/>
                                                  </a:ln>
                                                </pic:spPr>
                                              </pic:pic>
                                            </a:graphicData>
                                          </a:graphic>
                                        </wp:inline>
                                      </w:drawing>
                                    </w:r>
                                    <w:r>
                                      <w:fldChar w:fldCharType="end"/>
                                    </w:r>
                                  </w:p>
                                </w:tc>
                              </w:tr>
                              <w:tr w:rsidR="00F44D49" w14:paraId="64A66861" w14:textId="77777777">
                                <w:tc>
                                  <w:tcPr>
                                    <w:tcW w:w="8460" w:type="dxa"/>
                                    <w:tcMar>
                                      <w:top w:w="0" w:type="dxa"/>
                                      <w:left w:w="135" w:type="dxa"/>
                                      <w:bottom w:w="0" w:type="dxa"/>
                                      <w:right w:w="135" w:type="dxa"/>
                                    </w:tcMar>
                                    <w:hideMark/>
                                  </w:tcPr>
                                  <w:p w14:paraId="52AB90C2" w14:textId="77777777" w:rsidR="00F44D49" w:rsidRDefault="00F44D49">
                                    <w:pPr>
                                      <w:spacing w:line="300" w:lineRule="atLeast"/>
                                      <w:rPr>
                                        <w:rFonts w:ascii="Verdana" w:hAnsi="Verdana"/>
                                        <w:color w:val="222222"/>
                                      </w:rPr>
                                    </w:pPr>
                                    <w:hyperlink r:id="rId25" w:tgtFrame="_blank" w:history="1">
                                      <w:r>
                                        <w:rPr>
                                          <w:rStyle w:val="Hyperlink"/>
                                          <w:rFonts w:ascii="Helvetica Neue" w:hAnsi="Helvetica Neue"/>
                                          <w:b/>
                                          <w:bCs/>
                                          <w:color w:val="4C6AA2"/>
                                          <w:sz w:val="30"/>
                                          <w:szCs w:val="30"/>
                                        </w:rPr>
                                        <w:t>For Gen Z, TikTok is the New Search Engine</w:t>
                                      </w:r>
                                    </w:hyperlink>
                                    <w:r>
                                      <w:rPr>
                                        <w:rFonts w:ascii="Verdana" w:hAnsi="Verdana"/>
                                        <w:color w:val="222222"/>
                                      </w:rPr>
                                      <w:br/>
                                    </w:r>
                                    <w:r>
                                      <w:rPr>
                                        <w:rFonts w:ascii="Verdana" w:hAnsi="Verdana"/>
                                        <w:color w:val="222222"/>
                                      </w:rPr>
                                      <w:br/>
                                    </w:r>
                                    <w:r>
                                      <w:rPr>
                                        <w:rFonts w:ascii="Helvetica Neue" w:hAnsi="Helvetica Neue"/>
                                        <w:color w:val="222222"/>
                                        <w:sz w:val="18"/>
                                        <w:szCs w:val="18"/>
                                      </w:rPr>
                                      <w:lastRenderedPageBreak/>
                                      <w:t>In this New York Times article, </w:t>
                                    </w:r>
                                    <w:proofErr w:type="spellStart"/>
                                    <w:r>
                                      <w:rPr>
                                        <w:rFonts w:ascii="Helvetica Neue" w:hAnsi="Helvetica Neue"/>
                                        <w:color w:val="222222"/>
                                        <w:sz w:val="18"/>
                                        <w:szCs w:val="18"/>
                                      </w:rPr>
                                      <w:fldChar w:fldCharType="begin"/>
                                    </w:r>
                                    <w:r>
                                      <w:rPr>
                                        <w:rFonts w:ascii="Helvetica Neue" w:hAnsi="Helvetica Neue"/>
                                        <w:color w:val="222222"/>
                                        <w:sz w:val="18"/>
                                        <w:szCs w:val="18"/>
                                      </w:rPr>
                                      <w:instrText xml:space="preserve"> HYPERLINK "https://www.nytimes.com/2022/09/16/technology/gen-z-tiktok-search-engine.html" \t "_blank" </w:instrText>
                                    </w:r>
                                    <w:r>
                                      <w:rPr>
                                        <w:rFonts w:ascii="Helvetica Neue" w:hAnsi="Helvetica Neue"/>
                                        <w:color w:val="222222"/>
                                        <w:sz w:val="18"/>
                                        <w:szCs w:val="18"/>
                                      </w:rPr>
                                      <w:fldChar w:fldCharType="separate"/>
                                    </w:r>
                                    <w:r>
                                      <w:rPr>
                                        <w:rStyle w:val="Hyperlink"/>
                                        <w:rFonts w:ascii="Helvetica Neue" w:hAnsi="Helvetica Neue"/>
                                        <w:b/>
                                        <w:bCs/>
                                        <w:color w:val="4C6AA2"/>
                                        <w:sz w:val="18"/>
                                        <w:szCs w:val="18"/>
                                      </w:rPr>
                                      <w:t>Kalley</w:t>
                                    </w:r>
                                    <w:proofErr w:type="spellEnd"/>
                                    <w:r>
                                      <w:rPr>
                                        <w:rStyle w:val="Hyperlink"/>
                                        <w:rFonts w:ascii="Helvetica Neue" w:hAnsi="Helvetica Neue"/>
                                        <w:b/>
                                        <w:bCs/>
                                        <w:color w:val="4C6AA2"/>
                                        <w:sz w:val="18"/>
                                        <w:szCs w:val="18"/>
                                      </w:rPr>
                                      <w:t xml:space="preserve"> Huang considers</w:t>
                                    </w:r>
                                    <w:r>
                                      <w:rPr>
                                        <w:rFonts w:ascii="Helvetica Neue" w:hAnsi="Helvetica Neue"/>
                                        <w:color w:val="222222"/>
                                        <w:sz w:val="18"/>
                                        <w:szCs w:val="18"/>
                                      </w:rPr>
                                      <w:fldChar w:fldCharType="end"/>
                                    </w:r>
                                    <w:r>
                                      <w:rPr>
                                        <w:rFonts w:ascii="Helvetica Neue" w:hAnsi="Helvetica Neue"/>
                                        <w:color w:val="222222"/>
                                        <w:sz w:val="18"/>
                                        <w:szCs w:val="18"/>
                                      </w:rPr>
                                      <w:t xml:space="preserve"> the rise of new social media platforms, particularly TikTok, as information and search engine networks that are coming to disrupt and replace the dominance of Google. She suggests that TikTok’s rise as a discovery tool is part of a broader transition in digital searching, and whilst Google remains the world’s most used search engine, more and more people, particularly younger generations, are turning to social media channels instead. The transition is based on a range of factors, including the ease of searching capabilities and subsequent speed of results, the relevance of the information to the </w:t>
                                    </w:r>
                                    <w:proofErr w:type="gramStart"/>
                                    <w:r>
                                      <w:rPr>
                                        <w:rFonts w:ascii="Helvetica Neue" w:hAnsi="Helvetica Neue"/>
                                        <w:color w:val="222222"/>
                                        <w:sz w:val="18"/>
                                        <w:szCs w:val="18"/>
                                      </w:rPr>
                                      <w:t>particular user</w:t>
                                    </w:r>
                                    <w:proofErr w:type="gramEnd"/>
                                    <w:r>
                                      <w:rPr>
                                        <w:rFonts w:ascii="Helvetica Neue" w:hAnsi="Helvetica Neue"/>
                                        <w:color w:val="222222"/>
                                        <w:sz w:val="18"/>
                                        <w:szCs w:val="18"/>
                                      </w:rPr>
                                      <w:t xml:space="preserve"> given social media’s powerful algorithms, and the speed at which information can be ‘verified’ by other user comments. Huang suggests that this mode of searching is rooted in how young people discover information, not only to look for products, </w:t>
                                    </w:r>
                                    <w:proofErr w:type="gramStart"/>
                                    <w:r>
                                      <w:rPr>
                                        <w:rFonts w:ascii="Helvetica Neue" w:hAnsi="Helvetica Neue"/>
                                        <w:color w:val="222222"/>
                                        <w:sz w:val="18"/>
                                        <w:szCs w:val="18"/>
                                      </w:rPr>
                                      <w:t>businesses</w:t>
                                    </w:r>
                                    <w:proofErr w:type="gramEnd"/>
                                    <w:r>
                                      <w:rPr>
                                        <w:rFonts w:ascii="Helvetica Neue" w:hAnsi="Helvetica Neue"/>
                                        <w:color w:val="222222"/>
                                        <w:sz w:val="18"/>
                                        <w:szCs w:val="18"/>
                                      </w:rPr>
                                      <w:t xml:space="preserve"> and recommendations, but also to ask questions about how to do things and find explanations for what things mean. TikTok is steering into this transition too: the app is testing a keyword identification feature linking comments to search results, as well as a local content feed, so users can find businesses and events near them. As always, questions have been posed around the use of social media as information discovery, with concerns mostly based around misinformation circulation and echo chamber algorithms, as well as potential data privacy issues. Nonetheless, TikTok remains the most downloaded app for people between 18 and 24 and its use as younger generations’ search engine does not appear to </w:t>
                                    </w:r>
                                    <w:proofErr w:type="spellStart"/>
                                    <w:r>
                                      <w:rPr>
                                        <w:rFonts w:ascii="Helvetica Neue" w:hAnsi="Helvetica Neue"/>
                                        <w:color w:val="222222"/>
                                        <w:sz w:val="18"/>
                                        <w:szCs w:val="18"/>
                                      </w:rPr>
                                      <w:t>br</w:t>
                                    </w:r>
                                    <w:proofErr w:type="spellEnd"/>
                                    <w:r>
                                      <w:rPr>
                                        <w:rFonts w:ascii="Helvetica Neue" w:hAnsi="Helvetica Neue"/>
                                        <w:color w:val="222222"/>
                                        <w:sz w:val="18"/>
                                        <w:szCs w:val="18"/>
                                      </w:rPr>
                                      <w:t xml:space="preserve"> stopping.  </w:t>
                                    </w:r>
                                    <w:r>
                                      <w:rPr>
                                        <w:rFonts w:ascii="Helvetica Neue" w:hAnsi="Helvetica Neue"/>
                                        <w:color w:val="222222"/>
                                      </w:rPr>
                                      <w:br/>
                                    </w:r>
                                    <w:r>
                                      <w:rPr>
                                        <w:rFonts w:ascii="Helvetica Neue" w:hAnsi="Helvetica Neue"/>
                                        <w:color w:val="222222"/>
                                      </w:rPr>
                                      <w:br/>
                                    </w:r>
                                    <w:r>
                                      <w:rPr>
                                        <w:rFonts w:ascii="Helvetica Neue" w:hAnsi="Helvetica Neue"/>
                                        <w:color w:val="222222"/>
                                        <w:sz w:val="17"/>
                                        <w:szCs w:val="17"/>
                                      </w:rPr>
                                      <w:t>Image Credit: </w:t>
                                    </w:r>
                                    <w:hyperlink r:id="rId26" w:tgtFrame="_blank" w:history="1">
                                      <w:r>
                                        <w:rPr>
                                          <w:rStyle w:val="Hyperlink"/>
                                          <w:rFonts w:ascii="Helvetica Neue" w:hAnsi="Helvetica Neue"/>
                                          <w:b/>
                                          <w:bCs/>
                                          <w:color w:val="4C6AA2"/>
                                          <w:sz w:val="17"/>
                                          <w:szCs w:val="17"/>
                                        </w:rPr>
                                        <w:t xml:space="preserve">Solen </w:t>
                                      </w:r>
                                      <w:proofErr w:type="spellStart"/>
                                      <w:r>
                                        <w:rPr>
                                          <w:rStyle w:val="Hyperlink"/>
                                          <w:rFonts w:ascii="Helvetica Neue" w:hAnsi="Helvetica Neue"/>
                                          <w:b/>
                                          <w:bCs/>
                                          <w:color w:val="4C6AA2"/>
                                          <w:sz w:val="17"/>
                                          <w:szCs w:val="17"/>
                                        </w:rPr>
                                        <w:t>Feyissa</w:t>
                                      </w:r>
                                      <w:proofErr w:type="spellEnd"/>
                                    </w:hyperlink>
                                    <w:r>
                                      <w:rPr>
                                        <w:rFonts w:ascii="Verdana" w:hAnsi="Verdana"/>
                                        <w:color w:val="222222"/>
                                      </w:rPr>
                                      <w:br/>
                                      <w:t> </w:t>
                                    </w:r>
                                  </w:p>
                                  <w:p w14:paraId="1ADD3247" w14:textId="77777777" w:rsidR="00F44D49" w:rsidRDefault="00F44D49" w:rsidP="00F44D49">
                                    <w:pPr>
                                      <w:spacing w:line="300" w:lineRule="atLeast"/>
                                      <w:rPr>
                                        <w:rFonts w:ascii="Verdana" w:hAnsi="Verdana"/>
                                        <w:color w:val="222222"/>
                                      </w:rPr>
                                    </w:pPr>
                                    <w:r>
                                      <w:rPr>
                                        <w:rFonts w:ascii="Verdana" w:hAnsi="Verdana"/>
                                        <w:color w:val="222222"/>
                                      </w:rPr>
                                      <w:t> </w:t>
                                    </w:r>
                                  </w:p>
                                  <w:p w14:paraId="32DE926E" w14:textId="77777777" w:rsidR="00F44D49" w:rsidRDefault="00F44D49" w:rsidP="00F44D49">
                                    <w:pPr>
                                      <w:spacing w:line="300" w:lineRule="atLeast"/>
                                      <w:rPr>
                                        <w:rFonts w:ascii="Verdana" w:hAnsi="Verdana"/>
                                        <w:color w:val="222222"/>
                                      </w:rPr>
                                    </w:pPr>
                                    <w:r>
                                      <w:rPr>
                                        <w:rFonts w:ascii="Verdana" w:hAnsi="Verdana"/>
                                        <w:color w:val="222222"/>
                                      </w:rPr>
                                      <w:t> </w:t>
                                    </w:r>
                                  </w:p>
                                  <w:p w14:paraId="1FA44820" w14:textId="77777777" w:rsidR="00F44D49" w:rsidRDefault="00F44D49" w:rsidP="00F44D49">
                                    <w:pPr>
                                      <w:spacing w:line="300" w:lineRule="atLeast"/>
                                      <w:rPr>
                                        <w:rFonts w:ascii="Verdana" w:hAnsi="Verdana"/>
                                        <w:color w:val="222222"/>
                                      </w:rPr>
                                    </w:pPr>
                                    <w:r>
                                      <w:rPr>
                                        <w:rFonts w:ascii="Verdana" w:hAnsi="Verdana"/>
                                        <w:color w:val="222222"/>
                                      </w:rPr>
                                      <w:t> </w:t>
                                    </w:r>
                                  </w:p>
                                  <w:p w14:paraId="7C6FB602" w14:textId="77777777" w:rsidR="00F44D49" w:rsidRDefault="00F44D49" w:rsidP="00F44D49">
                                    <w:pPr>
                                      <w:spacing w:line="300" w:lineRule="atLeast"/>
                                      <w:rPr>
                                        <w:rFonts w:ascii="Verdana" w:hAnsi="Verdana"/>
                                        <w:color w:val="222222"/>
                                      </w:rPr>
                                    </w:pPr>
                                    <w:r>
                                      <w:rPr>
                                        <w:rFonts w:ascii="Verdana" w:hAnsi="Verdana"/>
                                        <w:color w:val="222222"/>
                                      </w:rPr>
                                      <w:t> </w:t>
                                    </w:r>
                                  </w:p>
                                </w:tc>
                              </w:tr>
                            </w:tbl>
                            <w:p w14:paraId="5EFF429A" w14:textId="77777777" w:rsidR="00F44D49" w:rsidRDefault="00F44D49">
                              <w:pPr>
                                <w:rPr>
                                  <w:rFonts w:ascii="Times New Roman" w:hAnsi="Times New Roman"/>
                                </w:rPr>
                              </w:pPr>
                            </w:p>
                          </w:tc>
                        </w:tr>
                      </w:tbl>
                      <w:p w14:paraId="1945053F"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4D072A22"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46C3C6E5" w14:textId="77777777">
                                <w:tc>
                                  <w:tcPr>
                                    <w:tcW w:w="0" w:type="auto"/>
                                    <w:vAlign w:val="center"/>
                                    <w:hideMark/>
                                  </w:tcPr>
                                  <w:p w14:paraId="07E712AA" w14:textId="77777777" w:rsidR="00F44D49" w:rsidRDefault="00F44D49"/>
                                </w:tc>
                              </w:tr>
                            </w:tbl>
                            <w:p w14:paraId="5FB20F70" w14:textId="77777777" w:rsidR="00F44D49" w:rsidRDefault="00F44D49"/>
                          </w:tc>
                        </w:tr>
                      </w:tbl>
                      <w:p w14:paraId="26E82A27"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0F55E6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7D6146FF" w14:textId="77777777">
                                <w:tc>
                                  <w:tcPr>
                                    <w:tcW w:w="0" w:type="auto"/>
                                    <w:tcMar>
                                      <w:top w:w="0" w:type="dxa"/>
                                      <w:left w:w="270" w:type="dxa"/>
                                      <w:bottom w:w="135" w:type="dxa"/>
                                      <w:right w:w="270" w:type="dxa"/>
                                    </w:tcMar>
                                    <w:hideMark/>
                                  </w:tcPr>
                                  <w:p w14:paraId="33A5DECE" w14:textId="77777777" w:rsidR="00F44D49" w:rsidRDefault="00F44D49">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Oliver Owens. Oliver is a recent graduate from the Australian National University where he studied a Bachelor of Politics, Philosophy and Economics, and a Bachelor of Visual Arts with a major in ceramics. He has previously worked at the Australian Trade and Investment </w:t>
                                    </w:r>
                                    <w:proofErr w:type="gramStart"/>
                                    <w:r>
                                      <w:rPr>
                                        <w:rStyle w:val="Emphasis"/>
                                        <w:rFonts w:ascii="Helvetica Neue" w:hAnsi="Helvetica Neue"/>
                                        <w:color w:val="000000"/>
                                        <w:sz w:val="17"/>
                                        <w:szCs w:val="17"/>
                                      </w:rPr>
                                      <w:t>Commission, and</w:t>
                                    </w:r>
                                    <w:proofErr w:type="gramEnd"/>
                                    <w:r>
                                      <w:rPr>
                                        <w:rStyle w:val="Emphasis"/>
                                        <w:rFonts w:ascii="Helvetica Neue" w:hAnsi="Helvetica Neue"/>
                                        <w:color w:val="000000"/>
                                        <w:sz w:val="17"/>
                                        <w:szCs w:val="17"/>
                                      </w:rPr>
                                      <w:t xml:space="preserve"> continues to pursue his arts practice by exhibiting work in galleries across Canberra and Sydney. Oliver’s research interests in international affairs are primarily associated with issues in security and climate policy, particularly across the Indo-Pacific region.</w:t>
                                    </w:r>
                                  </w:p>
                                </w:tc>
                              </w:tr>
                            </w:tbl>
                            <w:p w14:paraId="17ED8D64" w14:textId="77777777" w:rsidR="00F44D49" w:rsidRDefault="00F44D49">
                              <w:pPr>
                                <w:rPr>
                                  <w:rFonts w:ascii="Times New Roman" w:hAnsi="Times New Roman"/>
                                </w:rPr>
                              </w:pPr>
                            </w:p>
                          </w:tc>
                        </w:tr>
                      </w:tbl>
                      <w:p w14:paraId="6D74FCA5"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125DD09A"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60FBB135" w14:textId="77777777">
                                <w:tc>
                                  <w:tcPr>
                                    <w:tcW w:w="0" w:type="auto"/>
                                    <w:vAlign w:val="center"/>
                                    <w:hideMark/>
                                  </w:tcPr>
                                  <w:p w14:paraId="3C0D301E" w14:textId="77777777" w:rsidR="00F44D49" w:rsidRDefault="00F44D49"/>
                                </w:tc>
                              </w:tr>
                            </w:tbl>
                            <w:p w14:paraId="32CA34F1" w14:textId="77777777" w:rsidR="00F44D49" w:rsidRDefault="00F44D49"/>
                          </w:tc>
                        </w:tr>
                      </w:tbl>
                      <w:p w14:paraId="34186FA0"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4F85C3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13CFDE0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44D49" w14:paraId="2DE7875B" w14:textId="77777777">
                                      <w:tc>
                                        <w:tcPr>
                                          <w:tcW w:w="0" w:type="auto"/>
                                          <w:shd w:val="clear" w:color="auto" w:fill="4B6AA2"/>
                                          <w:tcMar>
                                            <w:top w:w="270" w:type="dxa"/>
                                            <w:left w:w="270" w:type="dxa"/>
                                            <w:bottom w:w="270" w:type="dxa"/>
                                            <w:right w:w="270" w:type="dxa"/>
                                          </w:tcMar>
                                          <w:hideMark/>
                                        </w:tcPr>
                                        <w:p w14:paraId="287F1223" w14:textId="77777777" w:rsidR="00F44D49" w:rsidRDefault="00F44D4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6408234" w14:textId="77777777" w:rsidR="00F44D49" w:rsidRDefault="00F44D49">
                                    <w:pPr>
                                      <w:rPr>
                                        <w:rFonts w:ascii="Times New Roman" w:hAnsi="Times New Roman"/>
                                      </w:rPr>
                                    </w:pPr>
                                  </w:p>
                                </w:tc>
                              </w:tr>
                            </w:tbl>
                            <w:p w14:paraId="28869EC5" w14:textId="77777777" w:rsidR="00F44D49" w:rsidRDefault="00F44D49"/>
                          </w:tc>
                        </w:tr>
                      </w:tbl>
                      <w:p w14:paraId="59B0DB6D"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54A78F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5F2BDCFF" w14:textId="77777777">
                                <w:tc>
                                  <w:tcPr>
                                    <w:tcW w:w="0" w:type="auto"/>
                                    <w:tcMar>
                                      <w:top w:w="0" w:type="dxa"/>
                                      <w:left w:w="270" w:type="dxa"/>
                                      <w:bottom w:w="135" w:type="dxa"/>
                                      <w:right w:w="270" w:type="dxa"/>
                                    </w:tcMar>
                                    <w:hideMark/>
                                  </w:tcPr>
                                  <w:p w14:paraId="70DED00B" w14:textId="77777777" w:rsidR="00F44D49" w:rsidRDefault="00F44D49" w:rsidP="00F44D49">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Will Russia abide by the G7 price cap on its oil, or will it provoke a war of attrition? This is the question </w:t>
                                    </w:r>
                                    <w:hyperlink r:id="rId27" w:tgtFrame="_blank" w:history="1">
                                      <w:r>
                                        <w:rPr>
                                          <w:rStyle w:val="Hyperlink"/>
                                          <w:rFonts w:ascii="Helvetica Neue" w:hAnsi="Helvetica Neue"/>
                                          <w:b/>
                                          <w:bCs/>
                                          <w:color w:val="4C6AA2"/>
                                          <w:sz w:val="18"/>
                                          <w:szCs w:val="18"/>
                                        </w:rPr>
                                        <w:t>explored</w:t>
                                      </w:r>
                                    </w:hyperlink>
                                    <w:r>
                                      <w:rPr>
                                        <w:rFonts w:ascii="Helvetica Neue" w:hAnsi="Helvetica Neue"/>
                                        <w:color w:val="000000"/>
                                        <w:sz w:val="18"/>
                                        <w:szCs w:val="18"/>
                                      </w:rPr>
                                      <w:t> by Blaise Malley, Associate Editor at </w:t>
                                    </w:r>
                                    <w:r>
                                      <w:rPr>
                                        <w:rStyle w:val="Emphasis"/>
                                        <w:rFonts w:ascii="Helvetica Neue" w:hAnsi="Helvetica Neue"/>
                                        <w:color w:val="000000"/>
                                        <w:sz w:val="18"/>
                                        <w:szCs w:val="18"/>
                                      </w:rPr>
                                      <w:t>The National Interest</w:t>
                                    </w:r>
                                    <w:r>
                                      <w:rPr>
                                        <w:rFonts w:ascii="Helvetica Neue" w:hAnsi="Helvetica Neue"/>
                                        <w:color w:val="000000"/>
                                        <w:sz w:val="18"/>
                                        <w:szCs w:val="18"/>
                                      </w:rPr>
                                      <w:t>.</w:t>
                                    </w:r>
                                  </w:p>
                                  <w:p w14:paraId="2EE021F8" w14:textId="77777777" w:rsidR="00F44D49" w:rsidRDefault="00F44D49" w:rsidP="00F44D49">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In the </w:t>
                                    </w:r>
                                    <w:r>
                                      <w:rPr>
                                        <w:rStyle w:val="Emphasis"/>
                                        <w:rFonts w:ascii="Helvetica Neue" w:hAnsi="Helvetica Neue"/>
                                        <w:color w:val="000000"/>
                                        <w:sz w:val="18"/>
                                        <w:szCs w:val="18"/>
                                      </w:rPr>
                                      <w:t>New York Times</w:t>
                                    </w:r>
                                    <w:r>
                                      <w:rPr>
                                        <w:rFonts w:ascii="Helvetica Neue" w:hAnsi="Helvetica Neue"/>
                                        <w:color w:val="000000"/>
                                        <w:sz w:val="18"/>
                                        <w:szCs w:val="18"/>
                                      </w:rPr>
                                      <w:t xml:space="preserve">, Keith </w:t>
                                    </w:r>
                                    <w:proofErr w:type="spellStart"/>
                                    <w:r>
                                      <w:rPr>
                                        <w:rFonts w:ascii="Helvetica Neue" w:hAnsi="Helvetica Neue"/>
                                        <w:color w:val="000000"/>
                                        <w:sz w:val="18"/>
                                        <w:szCs w:val="18"/>
                                      </w:rPr>
                                      <w:t>Bradsher</w:t>
                                    </w:r>
                                    <w:proofErr w:type="spellEnd"/>
                                    <w:r>
                                      <w:rPr>
                                        <w:rFonts w:ascii="Helvetica Neue" w:hAnsi="Helvetica Neue"/>
                                        <w:color w:val="000000"/>
                                        <w:sz w:val="18"/>
                                        <w:szCs w:val="18"/>
                                      </w:rPr>
                                      <w:t> </w:t>
                                    </w:r>
                                    <w:hyperlink r:id="rId28" w:tgtFrame="_blank" w:history="1">
                                      <w:r>
                                        <w:rPr>
                                          <w:rStyle w:val="Hyperlink"/>
                                          <w:rFonts w:ascii="Helvetica Neue" w:hAnsi="Helvetica Neue"/>
                                          <w:b/>
                                          <w:bCs/>
                                          <w:color w:val="4C6AA2"/>
                                          <w:sz w:val="18"/>
                                          <w:szCs w:val="18"/>
                                        </w:rPr>
                                        <w:t>investigates</w:t>
                                      </w:r>
                                    </w:hyperlink>
                                    <w:r>
                                      <w:rPr>
                                        <w:rFonts w:ascii="Helvetica Neue" w:hAnsi="Helvetica Neue"/>
                                        <w:color w:val="000000"/>
                                        <w:sz w:val="18"/>
                                        <w:szCs w:val="18"/>
                                      </w:rPr>
                                      <w:t> the falling rates of European investment in China's economy. </w:t>
                                    </w:r>
                                  </w:p>
                                  <w:p w14:paraId="6783F731" w14:textId="77777777" w:rsidR="00F44D49" w:rsidRDefault="00F44D49" w:rsidP="00F44D49">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Ramon Antonio Vargas </w:t>
                                    </w:r>
                                    <w:hyperlink r:id="rId29" w:tgtFrame="_blank" w:history="1">
                                      <w:r>
                                        <w:rPr>
                                          <w:rStyle w:val="Hyperlink"/>
                                          <w:rFonts w:ascii="Helvetica Neue" w:hAnsi="Helvetica Neue"/>
                                          <w:b/>
                                          <w:bCs/>
                                          <w:color w:val="4C6AA2"/>
                                          <w:sz w:val="18"/>
                                          <w:szCs w:val="18"/>
                                        </w:rPr>
                                        <w:t>reports</w:t>
                                      </w:r>
                                    </w:hyperlink>
                                    <w:r>
                                      <w:rPr>
                                        <w:rFonts w:ascii="Helvetica Neue" w:hAnsi="Helvetica Neue"/>
                                        <w:color w:val="000000"/>
                                        <w:sz w:val="18"/>
                                        <w:szCs w:val="18"/>
                                      </w:rPr>
                                      <w:t> for </w:t>
                                    </w:r>
                                    <w:r>
                                      <w:rPr>
                                        <w:rStyle w:val="Emphasis"/>
                                        <w:rFonts w:ascii="Helvetica Neue" w:hAnsi="Helvetica Neue"/>
                                        <w:color w:val="000000"/>
                                        <w:sz w:val="18"/>
                                        <w:szCs w:val="18"/>
                                      </w:rPr>
                                      <w:t>The Guardian</w:t>
                                    </w:r>
                                    <w:r>
                                      <w:rPr>
                                        <w:rFonts w:ascii="Helvetica Neue" w:hAnsi="Helvetica Neue"/>
                                        <w:color w:val="000000"/>
                                        <w:sz w:val="18"/>
                                        <w:szCs w:val="18"/>
                                      </w:rPr>
                                      <w:t> that Donald Trump's legal team admit to the possibility of the ex-president being charged over his keeping of documents at Mar-a-Lago. </w:t>
                                    </w:r>
                                  </w:p>
                                  <w:p w14:paraId="4CAEF34F" w14:textId="77777777" w:rsidR="00F44D49" w:rsidRDefault="00F44D49" w:rsidP="00F44D49">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lastRenderedPageBreak/>
                                      <w:t>Reporting for </w:t>
                                    </w:r>
                                    <w:r>
                                      <w:rPr>
                                        <w:rStyle w:val="Emphasis"/>
                                        <w:rFonts w:ascii="Helvetica Neue" w:hAnsi="Helvetica Neue"/>
                                        <w:color w:val="000000"/>
                                        <w:sz w:val="18"/>
                                        <w:szCs w:val="18"/>
                                      </w:rPr>
                                      <w:t>Reuters</w:t>
                                    </w:r>
                                    <w:r>
                                      <w:rPr>
                                        <w:rFonts w:ascii="Helvetica Neue" w:hAnsi="Helvetica Neue"/>
                                        <w:color w:val="000000"/>
                                        <w:sz w:val="18"/>
                                        <w:szCs w:val="18"/>
                                      </w:rPr>
                                      <w:t>, Tom Perry </w:t>
                                    </w:r>
                                    <w:hyperlink r:id="rId30" w:tgtFrame="_blank" w:history="1">
                                      <w:r>
                                        <w:rPr>
                                          <w:rStyle w:val="Hyperlink"/>
                                          <w:rFonts w:ascii="Helvetica Neue" w:hAnsi="Helvetica Neue"/>
                                          <w:b/>
                                          <w:bCs/>
                                          <w:color w:val="4C6AA2"/>
                                          <w:sz w:val="18"/>
                                          <w:szCs w:val="18"/>
                                        </w:rPr>
                                        <w:t>writes</w:t>
                                      </w:r>
                                    </w:hyperlink>
                                    <w:r>
                                      <w:rPr>
                                        <w:rFonts w:ascii="Helvetica Neue" w:hAnsi="Helvetica Neue"/>
                                        <w:color w:val="000000"/>
                                        <w:sz w:val="18"/>
                                        <w:szCs w:val="18"/>
                                      </w:rPr>
                                      <w:t> of the recent protests in Iran over the death of a young woman in custody, which have spilled over into concerns about social rights, security and economic sanctions.</w:t>
                                    </w:r>
                                  </w:p>
                                  <w:p w14:paraId="6EB8F5BD" w14:textId="77777777" w:rsidR="00F44D49" w:rsidRDefault="00F44D49" w:rsidP="00F44D49">
                                    <w:pPr>
                                      <w:numPr>
                                        <w:ilvl w:val="0"/>
                                        <w:numId w:val="2"/>
                                      </w:numPr>
                                      <w:spacing w:before="100" w:beforeAutospacing="1" w:after="75" w:line="360" w:lineRule="atLeast"/>
                                      <w:rPr>
                                        <w:rFonts w:ascii="Verdana" w:hAnsi="Verdana"/>
                                        <w:color w:val="000000"/>
                                      </w:rPr>
                                    </w:pPr>
                                    <w:r>
                                      <w:rPr>
                                        <w:rStyle w:val="Emphasis"/>
                                        <w:rFonts w:ascii="Helvetica Neue" w:hAnsi="Helvetica Neue"/>
                                        <w:color w:val="000000"/>
                                        <w:sz w:val="18"/>
                                        <w:szCs w:val="18"/>
                                      </w:rPr>
                                      <w:t>ABC</w:t>
                                    </w:r>
                                    <w:r>
                                      <w:rPr>
                                        <w:rFonts w:ascii="Helvetica Neue" w:hAnsi="Helvetica Neue"/>
                                        <w:color w:val="000000"/>
                                        <w:sz w:val="18"/>
                                        <w:szCs w:val="18"/>
                                      </w:rPr>
                                      <w:t> technology reporter Ariel Bogle </w:t>
                                    </w:r>
                                    <w:hyperlink r:id="rId31" w:tgtFrame="_blank" w:history="1">
                                      <w:r>
                                        <w:rPr>
                                          <w:rStyle w:val="Hyperlink"/>
                                          <w:rFonts w:ascii="Helvetica Neue" w:hAnsi="Helvetica Neue"/>
                                          <w:b/>
                                          <w:bCs/>
                                          <w:color w:val="4C6AA2"/>
                                          <w:sz w:val="18"/>
                                          <w:szCs w:val="18"/>
                                        </w:rPr>
                                        <w:t>discusses</w:t>
                                      </w:r>
                                    </w:hyperlink>
                                    <w:r>
                                      <w:rPr>
                                        <w:rFonts w:ascii="Helvetica Neue" w:hAnsi="Helvetica Neue"/>
                                        <w:color w:val="000000"/>
                                        <w:sz w:val="18"/>
                                        <w:szCs w:val="18"/>
                                      </w:rPr>
                                      <w:t> the implications of the Australian Government's recently introduced internet content moderation laws as part of the Online Safety Act. </w:t>
                                    </w:r>
                                  </w:p>
                                  <w:p w14:paraId="48B83DE9" w14:textId="77777777" w:rsidR="00F44D49" w:rsidRDefault="00F44D49" w:rsidP="00F44D49">
                                    <w:pPr>
                                      <w:numPr>
                                        <w:ilvl w:val="0"/>
                                        <w:numId w:val="2"/>
                                      </w:numPr>
                                      <w:spacing w:before="100" w:beforeAutospacing="1" w:after="75" w:line="360" w:lineRule="atLeast"/>
                                      <w:rPr>
                                        <w:rFonts w:ascii="Verdana" w:hAnsi="Verdana"/>
                                        <w:color w:val="000000"/>
                                      </w:rPr>
                                    </w:pPr>
                                    <w:r>
                                      <w:rPr>
                                        <w:rFonts w:ascii="Helvetica Neue" w:hAnsi="Helvetica Neue"/>
                                        <w:color w:val="000000"/>
                                        <w:sz w:val="18"/>
                                        <w:szCs w:val="18"/>
                                      </w:rPr>
                                      <w:t>Writing for </w:t>
                                    </w:r>
                                    <w:r>
                                      <w:rPr>
                                        <w:rStyle w:val="Emphasis"/>
                                        <w:rFonts w:ascii="Helvetica Neue" w:hAnsi="Helvetica Neue"/>
                                        <w:color w:val="000000"/>
                                        <w:sz w:val="18"/>
                                        <w:szCs w:val="18"/>
                                      </w:rPr>
                                      <w:t>Bloomberg</w:t>
                                    </w:r>
                                    <w:r>
                                      <w:rPr>
                                        <w:rFonts w:ascii="Helvetica Neue" w:hAnsi="Helvetica Neue"/>
                                        <w:color w:val="000000"/>
                                        <w:sz w:val="18"/>
                                        <w:szCs w:val="18"/>
                                      </w:rPr>
                                      <w:t xml:space="preserve">, Irene Perez and Thomas </w:t>
                                    </w:r>
                                    <w:proofErr w:type="spellStart"/>
                                    <w:r>
                                      <w:rPr>
                                        <w:rFonts w:ascii="Helvetica Neue" w:hAnsi="Helvetica Neue"/>
                                        <w:color w:val="000000"/>
                                        <w:sz w:val="18"/>
                                        <w:szCs w:val="18"/>
                                      </w:rPr>
                                      <w:t>Gaultieri</w:t>
                                    </w:r>
                                    <w:proofErr w:type="spellEnd"/>
                                    <w:r>
                                      <w:rPr>
                                        <w:rFonts w:ascii="Helvetica Neue" w:hAnsi="Helvetica Neue"/>
                                        <w:color w:val="000000"/>
                                        <w:sz w:val="18"/>
                                        <w:szCs w:val="18"/>
                                      </w:rPr>
                                      <w:t> </w:t>
                                    </w:r>
                                    <w:hyperlink r:id="rId32" w:tgtFrame="_blank" w:history="1">
                                      <w:r>
                                        <w:rPr>
                                          <w:rStyle w:val="Hyperlink"/>
                                          <w:rFonts w:ascii="Helvetica Neue" w:hAnsi="Helvetica Neue"/>
                                          <w:b/>
                                          <w:bCs/>
                                          <w:color w:val="4C6AA2"/>
                                          <w:sz w:val="18"/>
                                          <w:szCs w:val="18"/>
                                        </w:rPr>
                                        <w:t>examine</w:t>
                                      </w:r>
                                    </w:hyperlink>
                                    <w:r>
                                      <w:rPr>
                                        <w:rFonts w:ascii="Helvetica Neue" w:hAnsi="Helvetica Neue"/>
                                        <w:color w:val="000000"/>
                                        <w:sz w:val="18"/>
                                        <w:szCs w:val="18"/>
                                      </w:rPr>
                                      <w:t> the billion dollar financial meltdown of football giants FC Barcelona. </w:t>
                                    </w:r>
                                  </w:p>
                                </w:tc>
                              </w:tr>
                            </w:tbl>
                            <w:p w14:paraId="30CA1C2C" w14:textId="77777777" w:rsidR="00F44D49" w:rsidRDefault="00F44D49">
                              <w:pPr>
                                <w:rPr>
                                  <w:rFonts w:ascii="Times New Roman" w:hAnsi="Times New Roman"/>
                                </w:rPr>
                              </w:pPr>
                            </w:p>
                          </w:tc>
                        </w:tr>
                      </w:tbl>
                      <w:p w14:paraId="3B30D26A"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4F5B517F"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44D49" w14:paraId="69D46162" w14:textId="77777777">
                                <w:tc>
                                  <w:tcPr>
                                    <w:tcW w:w="0" w:type="auto"/>
                                    <w:vAlign w:val="center"/>
                                    <w:hideMark/>
                                  </w:tcPr>
                                  <w:p w14:paraId="5B04FFC0" w14:textId="77777777" w:rsidR="00F44D49" w:rsidRDefault="00F44D49"/>
                                </w:tc>
                              </w:tr>
                            </w:tbl>
                            <w:p w14:paraId="13A8D761" w14:textId="77777777" w:rsidR="00F44D49" w:rsidRDefault="00F44D49"/>
                          </w:tc>
                        </w:tr>
                      </w:tbl>
                      <w:p w14:paraId="7D5243E2"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E2F566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621DAFF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F44D49" w14:paraId="0D93E97F" w14:textId="77777777">
                                      <w:tc>
                                        <w:tcPr>
                                          <w:tcW w:w="0" w:type="auto"/>
                                          <w:shd w:val="clear" w:color="auto" w:fill="4B6AA2"/>
                                          <w:tcMar>
                                            <w:top w:w="270" w:type="dxa"/>
                                            <w:left w:w="270" w:type="dxa"/>
                                            <w:bottom w:w="270" w:type="dxa"/>
                                            <w:right w:w="270" w:type="dxa"/>
                                          </w:tcMar>
                                          <w:hideMark/>
                                        </w:tcPr>
                                        <w:p w14:paraId="580331A2" w14:textId="77777777" w:rsidR="00F44D49" w:rsidRDefault="00F44D49">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E717836" w14:textId="77777777" w:rsidR="00F44D49" w:rsidRDefault="00F44D49">
                                    <w:pPr>
                                      <w:rPr>
                                        <w:rFonts w:ascii="Times New Roman" w:hAnsi="Times New Roman"/>
                                      </w:rPr>
                                    </w:pPr>
                                  </w:p>
                                </w:tc>
                              </w:tr>
                            </w:tbl>
                            <w:p w14:paraId="27F49CC7" w14:textId="77777777" w:rsidR="00F44D49" w:rsidRDefault="00F44D49"/>
                          </w:tc>
                        </w:tr>
                      </w:tbl>
                      <w:p w14:paraId="2912C500"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2F21D1D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F44D49" w14:paraId="6A222F78" w14:textId="77777777">
                                <w:tc>
                                  <w:tcPr>
                                    <w:tcW w:w="0" w:type="auto"/>
                                    <w:vAlign w:val="center"/>
                                    <w:hideMark/>
                                  </w:tcPr>
                                  <w:p w14:paraId="501C5628" w14:textId="77777777" w:rsidR="00F44D49" w:rsidRDefault="00F44D49"/>
                                </w:tc>
                              </w:tr>
                            </w:tbl>
                            <w:p w14:paraId="3C8400DC" w14:textId="77777777" w:rsidR="00F44D49" w:rsidRDefault="00F44D49"/>
                          </w:tc>
                        </w:tr>
                      </w:tbl>
                      <w:p w14:paraId="3F7BD762"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33A69D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F44D49" w14:paraId="38BBFC9D" w14:textId="77777777">
                                <w:tc>
                                  <w:tcPr>
                                    <w:tcW w:w="0" w:type="auto"/>
                                    <w:tcMar>
                                      <w:top w:w="0" w:type="dxa"/>
                                      <w:left w:w="270" w:type="dxa"/>
                                      <w:bottom w:w="135" w:type="dxa"/>
                                      <w:right w:w="270" w:type="dxa"/>
                                    </w:tcMar>
                                    <w:hideMark/>
                                  </w:tcPr>
                                  <w:p w14:paraId="0D029FE0" w14:textId="77777777" w:rsidR="00F44D49" w:rsidRDefault="00F44D49">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3"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1ED6DB45" w14:textId="77777777" w:rsidR="00F44D49" w:rsidRDefault="00F44D49">
                              <w:pPr>
                                <w:rPr>
                                  <w:rFonts w:ascii="Times New Roman" w:hAnsi="Times New Roman"/>
                                </w:rPr>
                              </w:pPr>
                            </w:p>
                          </w:tc>
                        </w:tr>
                      </w:tbl>
                      <w:p w14:paraId="19F2B472" w14:textId="77777777" w:rsidR="00F44D49" w:rsidRDefault="00F44D49">
                        <w:pPr>
                          <w:rPr>
                            <w:vanish/>
                          </w:rPr>
                        </w:pPr>
                      </w:p>
                      <w:tbl>
                        <w:tblPr>
                          <w:tblW w:w="5000" w:type="pct"/>
                          <w:tblCellMar>
                            <w:left w:w="0" w:type="dxa"/>
                            <w:right w:w="0" w:type="dxa"/>
                          </w:tblCellMar>
                          <w:tblLook w:val="04A0" w:firstRow="1" w:lastRow="0" w:firstColumn="1" w:lastColumn="0" w:noHBand="0" w:noVBand="1"/>
                        </w:tblPr>
                        <w:tblGrid>
                          <w:gridCol w:w="10198"/>
                        </w:tblGrid>
                        <w:tr w:rsidR="00F44D49" w14:paraId="6399C5D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F44D49" w14:paraId="3D741DDC" w14:textId="77777777">
                                <w:tc>
                                  <w:tcPr>
                                    <w:tcW w:w="0" w:type="auto"/>
                                    <w:vAlign w:val="center"/>
                                    <w:hideMark/>
                                  </w:tcPr>
                                  <w:p w14:paraId="0F013C54" w14:textId="77777777" w:rsidR="00F44D49" w:rsidRDefault="00F44D49"/>
                                </w:tc>
                              </w:tr>
                            </w:tbl>
                            <w:p w14:paraId="2AAA555E" w14:textId="77777777" w:rsidR="00F44D49" w:rsidRDefault="00F44D49"/>
                          </w:tc>
                        </w:tr>
                      </w:tbl>
                      <w:p w14:paraId="1D46FEDB" w14:textId="77777777" w:rsidR="00F44D49" w:rsidRDefault="00F44D49"/>
                    </w:tc>
                  </w:tr>
                </w:tbl>
                <w:p w14:paraId="24904A55" w14:textId="77777777" w:rsidR="00F44D49" w:rsidRDefault="00F44D49">
                  <w:pPr>
                    <w:jc w:val="center"/>
                  </w:pPr>
                </w:p>
              </w:tc>
            </w:tr>
          </w:tbl>
          <w:p w14:paraId="2DAD4A2B" w14:textId="77777777" w:rsidR="00F44D49" w:rsidRDefault="00F44D49">
            <w:pPr>
              <w:jc w:val="center"/>
              <w:rPr>
                <w:rFonts w:ascii="Times" w:hAnsi="Times"/>
                <w:color w:val="000000"/>
                <w:sz w:val="27"/>
                <w:szCs w:val="27"/>
              </w:rPr>
            </w:pPr>
          </w:p>
        </w:tc>
      </w:tr>
      <w:tr w:rsidR="00F44D49" w14:paraId="19FC7782" w14:textId="77777777" w:rsidTr="00F44D49">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F44D49" w14:paraId="06E70494"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F44D49" w14:paraId="6241010D"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F44D49" w14:paraId="76FFEBBC" w14:textId="77777777">
                          <w:tc>
                            <w:tcPr>
                              <w:tcW w:w="0" w:type="auto"/>
                              <w:hideMark/>
                            </w:tcPr>
                            <w:p w14:paraId="506CBF9E" w14:textId="77777777" w:rsidR="00F44D49" w:rsidRDefault="00F44D49">
                              <w:pPr>
                                <w:jc w:val="center"/>
                                <w:rPr>
                                  <w:sz w:val="20"/>
                                  <w:szCs w:val="20"/>
                                </w:rPr>
                              </w:pPr>
                            </w:p>
                          </w:tc>
                        </w:tr>
                      </w:tbl>
                      <w:p w14:paraId="5303753F" w14:textId="77777777" w:rsidR="00F44D49" w:rsidRDefault="00F44D49"/>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F44D49" w14:paraId="466F7A97" w14:textId="77777777">
                          <w:tc>
                            <w:tcPr>
                              <w:tcW w:w="0" w:type="auto"/>
                              <w:hideMark/>
                            </w:tcPr>
                            <w:p w14:paraId="46B5C5BB" w14:textId="77777777" w:rsidR="00F44D49" w:rsidRDefault="00F44D49">
                              <w:pPr>
                                <w:rPr>
                                  <w:sz w:val="20"/>
                                  <w:szCs w:val="20"/>
                                </w:rPr>
                              </w:pPr>
                            </w:p>
                          </w:tc>
                        </w:tr>
                      </w:tbl>
                      <w:p w14:paraId="3DBEBCA9" w14:textId="77777777" w:rsidR="00F44D49" w:rsidRDefault="00F44D49"/>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F44D49" w14:paraId="31B42A08" w14:textId="77777777">
                          <w:tc>
                            <w:tcPr>
                              <w:tcW w:w="0" w:type="auto"/>
                              <w:hideMark/>
                            </w:tcPr>
                            <w:p w14:paraId="59587603" w14:textId="77777777" w:rsidR="00F44D49" w:rsidRDefault="00F44D49">
                              <w:pPr>
                                <w:rPr>
                                  <w:sz w:val="20"/>
                                  <w:szCs w:val="20"/>
                                </w:rPr>
                              </w:pPr>
                            </w:p>
                          </w:tc>
                        </w:tr>
                      </w:tbl>
                      <w:p w14:paraId="67BD3FAF" w14:textId="77777777" w:rsidR="00F44D49" w:rsidRDefault="00F44D49"/>
                    </w:tc>
                  </w:tr>
                </w:tbl>
                <w:p w14:paraId="72D23FD0" w14:textId="77777777" w:rsidR="00F44D49" w:rsidRDefault="00F44D49">
                  <w:pPr>
                    <w:jc w:val="center"/>
                  </w:pPr>
                </w:p>
              </w:tc>
            </w:tr>
          </w:tbl>
          <w:p w14:paraId="67A75889" w14:textId="77777777" w:rsidR="00F44D49" w:rsidRDefault="00F44D49">
            <w:pPr>
              <w:jc w:val="cente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40778"/>
    <w:multiLevelType w:val="multilevel"/>
    <w:tmpl w:val="6C26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1C1F1F"/>
    <w:multiLevelType w:val="multilevel"/>
    <w:tmpl w:val="44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270418">
    <w:abstractNumId w:val="1"/>
  </w:num>
  <w:num w:numId="2" w16cid:durableId="164130358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F5A25"/>
    <w:rsid w:val="00500F2A"/>
    <w:rsid w:val="00620940"/>
    <w:rsid w:val="0066194E"/>
    <w:rsid w:val="0066673F"/>
    <w:rsid w:val="00751BBF"/>
    <w:rsid w:val="00776A50"/>
    <w:rsid w:val="00792905"/>
    <w:rsid w:val="00824535"/>
    <w:rsid w:val="00830447"/>
    <w:rsid w:val="008647AD"/>
    <w:rsid w:val="008650B2"/>
    <w:rsid w:val="00881999"/>
    <w:rsid w:val="00973806"/>
    <w:rsid w:val="00986DF8"/>
    <w:rsid w:val="00A36CF8"/>
    <w:rsid w:val="00B04A33"/>
    <w:rsid w:val="00B41ADD"/>
    <w:rsid w:val="00BA5116"/>
    <w:rsid w:val="00BB5C16"/>
    <w:rsid w:val="00BD773F"/>
    <w:rsid w:val="00C2491D"/>
    <w:rsid w:val="00C30442"/>
    <w:rsid w:val="00C70D59"/>
    <w:rsid w:val="00CA182F"/>
    <w:rsid w:val="00D0239C"/>
    <w:rsid w:val="00D329FD"/>
    <w:rsid w:val="00D334F3"/>
    <w:rsid w:val="00D36531"/>
    <w:rsid w:val="00D507DA"/>
    <w:rsid w:val="00D516B1"/>
    <w:rsid w:val="00DA71A4"/>
    <w:rsid w:val="00E1467A"/>
    <w:rsid w:val="00E3020E"/>
    <w:rsid w:val="00EB345E"/>
    <w:rsid w:val="00F44D49"/>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246380370">
      <w:bodyDiv w:val="1"/>
      <w:marLeft w:val="0"/>
      <w:marRight w:val="0"/>
      <w:marTop w:val="0"/>
      <w:marBottom w:val="0"/>
      <w:divBdr>
        <w:top w:val="none" w:sz="0" w:space="0" w:color="auto"/>
        <w:left w:val="none" w:sz="0" w:space="0" w:color="auto"/>
        <w:bottom w:val="none" w:sz="0" w:space="0" w:color="auto"/>
        <w:right w:val="none" w:sz="0" w:space="0" w:color="auto"/>
      </w:divBdr>
      <w:divsChild>
        <w:div w:id="987588363">
          <w:marLeft w:val="0"/>
          <w:marRight w:val="0"/>
          <w:marTop w:val="0"/>
          <w:marBottom w:val="0"/>
          <w:divBdr>
            <w:top w:val="none" w:sz="0" w:space="0" w:color="auto"/>
            <w:left w:val="none" w:sz="0" w:space="0" w:color="auto"/>
            <w:bottom w:val="none" w:sz="0" w:space="0" w:color="auto"/>
            <w:right w:val="none" w:sz="0" w:space="0" w:color="auto"/>
          </w:divBdr>
        </w:div>
        <w:div w:id="1157576153">
          <w:marLeft w:val="0"/>
          <w:marRight w:val="0"/>
          <w:marTop w:val="0"/>
          <w:marBottom w:val="0"/>
          <w:divBdr>
            <w:top w:val="none" w:sz="0" w:space="0" w:color="auto"/>
            <w:left w:val="none" w:sz="0" w:space="0" w:color="auto"/>
            <w:bottom w:val="none" w:sz="0" w:space="0" w:color="auto"/>
            <w:right w:val="none" w:sz="0" w:space="0" w:color="auto"/>
          </w:divBdr>
        </w:div>
        <w:div w:id="1795370623">
          <w:marLeft w:val="0"/>
          <w:marRight w:val="0"/>
          <w:marTop w:val="0"/>
          <w:marBottom w:val="0"/>
          <w:divBdr>
            <w:top w:val="none" w:sz="0" w:space="0" w:color="auto"/>
            <w:left w:val="none" w:sz="0" w:space="0" w:color="auto"/>
            <w:bottom w:val="none" w:sz="0" w:space="0" w:color="auto"/>
            <w:right w:val="none" w:sz="0" w:space="0" w:color="auto"/>
          </w:divBdr>
        </w:div>
        <w:div w:id="1397781468">
          <w:marLeft w:val="0"/>
          <w:marRight w:val="0"/>
          <w:marTop w:val="0"/>
          <w:marBottom w:val="0"/>
          <w:divBdr>
            <w:top w:val="none" w:sz="0" w:space="0" w:color="auto"/>
            <w:left w:val="none" w:sz="0" w:space="0" w:color="auto"/>
            <w:bottom w:val="none" w:sz="0" w:space="0" w:color="auto"/>
            <w:right w:val="none" w:sz="0" w:space="0" w:color="auto"/>
          </w:divBdr>
        </w:div>
        <w:div w:id="1597472272">
          <w:marLeft w:val="0"/>
          <w:marRight w:val="0"/>
          <w:marTop w:val="0"/>
          <w:marBottom w:val="0"/>
          <w:divBdr>
            <w:top w:val="none" w:sz="0" w:space="0" w:color="auto"/>
            <w:left w:val="none" w:sz="0" w:space="0" w:color="auto"/>
            <w:bottom w:val="none" w:sz="0" w:space="0" w:color="auto"/>
            <w:right w:val="none" w:sz="0" w:space="0" w:color="auto"/>
          </w:divBdr>
        </w:div>
        <w:div w:id="1540432951">
          <w:marLeft w:val="0"/>
          <w:marRight w:val="0"/>
          <w:marTop w:val="0"/>
          <w:marBottom w:val="0"/>
          <w:divBdr>
            <w:top w:val="none" w:sz="0" w:space="0" w:color="auto"/>
            <w:left w:val="none" w:sz="0" w:space="0" w:color="auto"/>
            <w:bottom w:val="none" w:sz="0" w:space="0" w:color="auto"/>
            <w:right w:val="none" w:sz="0" w:space="0" w:color="auto"/>
          </w:divBdr>
        </w:div>
      </w:divsChild>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089618517">
      <w:bodyDiv w:val="1"/>
      <w:marLeft w:val="0"/>
      <w:marRight w:val="0"/>
      <w:marTop w:val="0"/>
      <w:marBottom w:val="0"/>
      <w:divBdr>
        <w:top w:val="none" w:sz="0" w:space="0" w:color="auto"/>
        <w:left w:val="none" w:sz="0" w:space="0" w:color="auto"/>
        <w:bottom w:val="none" w:sz="0" w:space="0" w:color="auto"/>
        <w:right w:val="none" w:sz="0" w:space="0" w:color="auto"/>
      </w:divBdr>
      <w:divsChild>
        <w:div w:id="953290776">
          <w:marLeft w:val="0"/>
          <w:marRight w:val="0"/>
          <w:marTop w:val="0"/>
          <w:marBottom w:val="0"/>
          <w:divBdr>
            <w:top w:val="none" w:sz="0" w:space="0" w:color="auto"/>
            <w:left w:val="none" w:sz="0" w:space="0" w:color="auto"/>
            <w:bottom w:val="none" w:sz="0" w:space="0" w:color="auto"/>
            <w:right w:val="none" w:sz="0" w:space="0" w:color="auto"/>
          </w:divBdr>
        </w:div>
        <w:div w:id="2113284062">
          <w:marLeft w:val="0"/>
          <w:marRight w:val="0"/>
          <w:marTop w:val="0"/>
          <w:marBottom w:val="0"/>
          <w:divBdr>
            <w:top w:val="none" w:sz="0" w:space="0" w:color="auto"/>
            <w:left w:val="none" w:sz="0" w:space="0" w:color="auto"/>
            <w:bottom w:val="none" w:sz="0" w:space="0" w:color="auto"/>
            <w:right w:val="none" w:sz="0" w:space="0" w:color="auto"/>
          </w:divBdr>
        </w:div>
        <w:div w:id="1533613450">
          <w:marLeft w:val="0"/>
          <w:marRight w:val="0"/>
          <w:marTop w:val="0"/>
          <w:marBottom w:val="0"/>
          <w:divBdr>
            <w:top w:val="none" w:sz="0" w:space="0" w:color="auto"/>
            <w:left w:val="none" w:sz="0" w:space="0" w:color="auto"/>
            <w:bottom w:val="none" w:sz="0" w:space="0" w:color="auto"/>
            <w:right w:val="none" w:sz="0" w:space="0" w:color="auto"/>
          </w:divBdr>
        </w:div>
        <w:div w:id="1273435688">
          <w:marLeft w:val="0"/>
          <w:marRight w:val="0"/>
          <w:marTop w:val="0"/>
          <w:marBottom w:val="0"/>
          <w:divBdr>
            <w:top w:val="none" w:sz="0" w:space="0" w:color="auto"/>
            <w:left w:val="none" w:sz="0" w:space="0" w:color="auto"/>
            <w:bottom w:val="none" w:sz="0" w:space="0" w:color="auto"/>
            <w:right w:val="none" w:sz="0" w:space="0" w:color="auto"/>
          </w:divBdr>
        </w:div>
        <w:div w:id="112359914">
          <w:marLeft w:val="0"/>
          <w:marRight w:val="0"/>
          <w:marTop w:val="0"/>
          <w:marBottom w:val="0"/>
          <w:divBdr>
            <w:top w:val="none" w:sz="0" w:space="0" w:color="auto"/>
            <w:left w:val="none" w:sz="0" w:space="0" w:color="auto"/>
            <w:bottom w:val="none" w:sz="0" w:space="0" w:color="auto"/>
            <w:right w:val="none" w:sz="0" w:space="0" w:color="auto"/>
          </w:divBdr>
        </w:div>
        <w:div w:id="798959785">
          <w:marLeft w:val="0"/>
          <w:marRight w:val="0"/>
          <w:marTop w:val="0"/>
          <w:marBottom w:val="0"/>
          <w:divBdr>
            <w:top w:val="none" w:sz="0" w:space="0" w:color="auto"/>
            <w:left w:val="none" w:sz="0" w:space="0" w:color="auto"/>
            <w:bottom w:val="none" w:sz="0" w:space="0" w:color="auto"/>
            <w:right w:val="none" w:sz="0" w:space="0" w:color="auto"/>
          </w:divBdr>
        </w:div>
        <w:div w:id="1652563093">
          <w:marLeft w:val="0"/>
          <w:marRight w:val="0"/>
          <w:marTop w:val="0"/>
          <w:marBottom w:val="0"/>
          <w:divBdr>
            <w:top w:val="none" w:sz="0" w:space="0" w:color="auto"/>
            <w:left w:val="none" w:sz="0" w:space="0" w:color="auto"/>
            <w:bottom w:val="none" w:sz="0" w:space="0" w:color="auto"/>
            <w:right w:val="none" w:sz="0" w:space="0" w:color="auto"/>
          </w:divBdr>
        </w:div>
        <w:div w:id="201211408">
          <w:marLeft w:val="0"/>
          <w:marRight w:val="0"/>
          <w:marTop w:val="0"/>
          <w:marBottom w:val="0"/>
          <w:divBdr>
            <w:top w:val="none" w:sz="0" w:space="0" w:color="auto"/>
            <w:left w:val="none" w:sz="0" w:space="0" w:color="auto"/>
            <w:bottom w:val="none" w:sz="0" w:space="0" w:color="auto"/>
            <w:right w:val="none" w:sz="0" w:space="0" w:color="auto"/>
          </w:divBdr>
        </w:div>
        <w:div w:id="2114351038">
          <w:marLeft w:val="0"/>
          <w:marRight w:val="0"/>
          <w:marTop w:val="0"/>
          <w:marBottom w:val="0"/>
          <w:divBdr>
            <w:top w:val="none" w:sz="0" w:space="0" w:color="auto"/>
            <w:left w:val="none" w:sz="0" w:space="0" w:color="auto"/>
            <w:bottom w:val="none" w:sz="0" w:space="0" w:color="auto"/>
            <w:right w:val="none" w:sz="0" w:space="0" w:color="auto"/>
          </w:divBdr>
        </w:div>
      </w:divsChild>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23071418">
      <w:bodyDiv w:val="1"/>
      <w:marLeft w:val="0"/>
      <w:marRight w:val="0"/>
      <w:marTop w:val="0"/>
      <w:marBottom w:val="0"/>
      <w:divBdr>
        <w:top w:val="none" w:sz="0" w:space="0" w:color="auto"/>
        <w:left w:val="none" w:sz="0" w:space="0" w:color="auto"/>
        <w:bottom w:val="none" w:sz="0" w:space="0" w:color="auto"/>
        <w:right w:val="none" w:sz="0" w:space="0" w:color="auto"/>
      </w:divBdr>
      <w:divsChild>
        <w:div w:id="817310808">
          <w:marLeft w:val="0"/>
          <w:marRight w:val="0"/>
          <w:marTop w:val="0"/>
          <w:marBottom w:val="0"/>
          <w:divBdr>
            <w:top w:val="none" w:sz="0" w:space="0" w:color="auto"/>
            <w:left w:val="none" w:sz="0" w:space="0" w:color="auto"/>
            <w:bottom w:val="none" w:sz="0" w:space="0" w:color="auto"/>
            <w:right w:val="none" w:sz="0" w:space="0" w:color="auto"/>
          </w:divBdr>
        </w:div>
        <w:div w:id="330064468">
          <w:marLeft w:val="0"/>
          <w:marRight w:val="0"/>
          <w:marTop w:val="0"/>
          <w:marBottom w:val="0"/>
          <w:divBdr>
            <w:top w:val="none" w:sz="0" w:space="0" w:color="auto"/>
            <w:left w:val="none" w:sz="0" w:space="0" w:color="auto"/>
            <w:bottom w:val="none" w:sz="0" w:space="0" w:color="auto"/>
            <w:right w:val="none" w:sz="0" w:space="0" w:color="auto"/>
          </w:divBdr>
        </w:div>
        <w:div w:id="1371998415">
          <w:marLeft w:val="0"/>
          <w:marRight w:val="0"/>
          <w:marTop w:val="0"/>
          <w:marBottom w:val="0"/>
          <w:divBdr>
            <w:top w:val="none" w:sz="0" w:space="0" w:color="auto"/>
            <w:left w:val="none" w:sz="0" w:space="0" w:color="auto"/>
            <w:bottom w:val="none" w:sz="0" w:space="0" w:color="auto"/>
            <w:right w:val="none" w:sz="0" w:space="0" w:color="auto"/>
          </w:divBdr>
        </w:div>
        <w:div w:id="2114856029">
          <w:marLeft w:val="0"/>
          <w:marRight w:val="0"/>
          <w:marTop w:val="0"/>
          <w:marBottom w:val="0"/>
          <w:divBdr>
            <w:top w:val="none" w:sz="0" w:space="0" w:color="auto"/>
            <w:left w:val="none" w:sz="0" w:space="0" w:color="auto"/>
            <w:bottom w:val="none" w:sz="0" w:space="0" w:color="auto"/>
            <w:right w:val="none" w:sz="0" w:space="0" w:color="auto"/>
          </w:divBdr>
        </w:div>
        <w:div w:id="353771944">
          <w:marLeft w:val="0"/>
          <w:marRight w:val="0"/>
          <w:marTop w:val="0"/>
          <w:marBottom w:val="0"/>
          <w:divBdr>
            <w:top w:val="none" w:sz="0" w:space="0" w:color="auto"/>
            <w:left w:val="none" w:sz="0" w:space="0" w:color="auto"/>
            <w:bottom w:val="none" w:sz="0" w:space="0" w:color="auto"/>
            <w:right w:val="none" w:sz="0" w:space="0" w:color="auto"/>
          </w:divBdr>
        </w:div>
        <w:div w:id="1187794275">
          <w:marLeft w:val="0"/>
          <w:marRight w:val="0"/>
          <w:marTop w:val="0"/>
          <w:marBottom w:val="0"/>
          <w:divBdr>
            <w:top w:val="none" w:sz="0" w:space="0" w:color="auto"/>
            <w:left w:val="none" w:sz="0" w:space="0" w:color="auto"/>
            <w:bottom w:val="none" w:sz="0" w:space="0" w:color="auto"/>
            <w:right w:val="none" w:sz="0" w:space="0" w:color="auto"/>
          </w:divBdr>
        </w:div>
        <w:div w:id="1708598250">
          <w:marLeft w:val="0"/>
          <w:marRight w:val="0"/>
          <w:marTop w:val="0"/>
          <w:marBottom w:val="0"/>
          <w:divBdr>
            <w:top w:val="none" w:sz="0" w:space="0" w:color="auto"/>
            <w:left w:val="none" w:sz="0" w:space="0" w:color="auto"/>
            <w:bottom w:val="none" w:sz="0" w:space="0" w:color="auto"/>
            <w:right w:val="none" w:sz="0" w:space="0" w:color="auto"/>
          </w:divBdr>
        </w:div>
      </w:divsChild>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898513344">
      <w:bodyDiv w:val="1"/>
      <w:marLeft w:val="0"/>
      <w:marRight w:val="0"/>
      <w:marTop w:val="0"/>
      <w:marBottom w:val="0"/>
      <w:divBdr>
        <w:top w:val="none" w:sz="0" w:space="0" w:color="auto"/>
        <w:left w:val="none" w:sz="0" w:space="0" w:color="auto"/>
        <w:bottom w:val="none" w:sz="0" w:space="0" w:color="auto"/>
        <w:right w:val="none" w:sz="0" w:space="0" w:color="auto"/>
      </w:divBdr>
      <w:divsChild>
        <w:div w:id="1462647794">
          <w:marLeft w:val="0"/>
          <w:marRight w:val="0"/>
          <w:marTop w:val="0"/>
          <w:marBottom w:val="0"/>
          <w:divBdr>
            <w:top w:val="none" w:sz="0" w:space="0" w:color="auto"/>
            <w:left w:val="none" w:sz="0" w:space="0" w:color="auto"/>
            <w:bottom w:val="none" w:sz="0" w:space="0" w:color="auto"/>
            <w:right w:val="none" w:sz="0" w:space="0" w:color="auto"/>
          </w:divBdr>
        </w:div>
        <w:div w:id="1227842707">
          <w:marLeft w:val="0"/>
          <w:marRight w:val="0"/>
          <w:marTop w:val="0"/>
          <w:marBottom w:val="0"/>
          <w:divBdr>
            <w:top w:val="none" w:sz="0" w:space="0" w:color="auto"/>
            <w:left w:val="none" w:sz="0" w:space="0" w:color="auto"/>
            <w:bottom w:val="none" w:sz="0" w:space="0" w:color="auto"/>
            <w:right w:val="none" w:sz="0" w:space="0" w:color="auto"/>
          </w:divBdr>
        </w:div>
        <w:div w:id="611018748">
          <w:marLeft w:val="0"/>
          <w:marRight w:val="0"/>
          <w:marTop w:val="0"/>
          <w:marBottom w:val="0"/>
          <w:divBdr>
            <w:top w:val="none" w:sz="0" w:space="0" w:color="auto"/>
            <w:left w:val="none" w:sz="0" w:space="0" w:color="auto"/>
            <w:bottom w:val="none" w:sz="0" w:space="0" w:color="auto"/>
            <w:right w:val="none" w:sz="0" w:space="0" w:color="auto"/>
          </w:divBdr>
        </w:div>
        <w:div w:id="1709604802">
          <w:marLeft w:val="0"/>
          <w:marRight w:val="0"/>
          <w:marTop w:val="0"/>
          <w:marBottom w:val="0"/>
          <w:divBdr>
            <w:top w:val="none" w:sz="0" w:space="0" w:color="auto"/>
            <w:left w:val="none" w:sz="0" w:space="0" w:color="auto"/>
            <w:bottom w:val="none" w:sz="0" w:space="0" w:color="auto"/>
            <w:right w:val="none" w:sz="0" w:space="0" w:color="auto"/>
          </w:divBdr>
        </w:div>
        <w:div w:id="1396321591">
          <w:marLeft w:val="0"/>
          <w:marRight w:val="0"/>
          <w:marTop w:val="0"/>
          <w:marBottom w:val="0"/>
          <w:divBdr>
            <w:top w:val="none" w:sz="0" w:space="0" w:color="auto"/>
            <w:left w:val="none" w:sz="0" w:space="0" w:color="auto"/>
            <w:bottom w:val="none" w:sz="0" w:space="0" w:color="auto"/>
            <w:right w:val="none" w:sz="0" w:space="0" w:color="auto"/>
          </w:divBdr>
        </w:div>
        <w:div w:id="895162978">
          <w:marLeft w:val="0"/>
          <w:marRight w:val="0"/>
          <w:marTop w:val="0"/>
          <w:marBottom w:val="0"/>
          <w:divBdr>
            <w:top w:val="none" w:sz="0" w:space="0" w:color="auto"/>
            <w:left w:val="none" w:sz="0" w:space="0" w:color="auto"/>
            <w:bottom w:val="none" w:sz="0" w:space="0" w:color="auto"/>
            <w:right w:val="none" w:sz="0" w:space="0" w:color="auto"/>
          </w:divBdr>
        </w:div>
      </w:divsChild>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sc.edu.au/analysis/365-days-of-aukus-progress-challenges-and-prospects" TargetMode="External"/><Relationship Id="rId18" Type="http://schemas.openxmlformats.org/officeDocument/2006/relationships/hyperlink" Target="https://www.usip.org/publications/2022/09/amid-ukraine-war-armenia-and-azerbaijan-fighting-risks-broader-conflict" TargetMode="External"/><Relationship Id="rId26" Type="http://schemas.openxmlformats.org/officeDocument/2006/relationships/hyperlink" Target="https://commons.wikimedia.org/wiki/File:TikTok_app.jpg" TargetMode="External"/><Relationship Id="rId3" Type="http://schemas.openxmlformats.org/officeDocument/2006/relationships/settings" Target="settings.xml"/><Relationship Id="rId21" Type="http://schemas.openxmlformats.org/officeDocument/2006/relationships/hyperlink" Target="https://www.foreignaffairs.com/united-states/fractured-superpower-federalism-remaking-us-democracy-foreign-policy"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ussc.edu.au/analysis/365-days-of-aukus-progress-challenges-and-prospects" TargetMode="External"/><Relationship Id="rId17" Type="http://schemas.openxmlformats.org/officeDocument/2006/relationships/hyperlink" Target="https://www.bbc.com/news/world-europe-62888891" TargetMode="External"/><Relationship Id="rId25" Type="http://schemas.openxmlformats.org/officeDocument/2006/relationships/hyperlink" Target="https://www.nytimes.com/2022/09/16/technology/gen-z-tiktok-search-engine.html" TargetMode="External"/><Relationship Id="rId33" Type="http://schemas.openxmlformats.org/officeDocument/2006/relationships/hyperlink" Target="mailto:aiianswletters@gmail.com" TargetMode="External"/><Relationship Id="rId2" Type="http://schemas.openxmlformats.org/officeDocument/2006/relationships/styles" Target="styles.xml"/><Relationship Id="rId16" Type="http://schemas.openxmlformats.org/officeDocument/2006/relationships/hyperlink" Target="https://www.usip.org/publications/2022/09/amid-ukraine-war-armenia-and-azerbaijan-fighting-risks-broader-conflict" TargetMode="External"/><Relationship Id="rId20" Type="http://schemas.openxmlformats.org/officeDocument/2006/relationships/image" Target="media/image6.jpeg"/><Relationship Id="rId29" Type="http://schemas.openxmlformats.org/officeDocument/2006/relationships/hyperlink" Target="https://www.theguardian.com/us-news/2022/sep/20/trump-lawyers-charges-documents-fbi-mar-a-lag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www.bloomberg.com/news/articles/2022-08-08/barcelona-football-club-revamps-finances-to-buy-players-in-the-transfer-market"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lickr.com/photos/hellamike81/26549004234/in/photolist-Gs3A1j-VMMRHL-4GJtbP-ybmoro-4FoL4H-heGHc-9TntiZ-Jd5oT-4dmmP-88hfov-w6YSTb-LyYcYv-9JPSBX-x78JHk-5UTyDR-4B9GjP-65GEj4-5xVs6h-Cyjrrn-7psNrP-61TUKC-aomYqp-9PtCBA-UgEmMa-nG2Pt4-ah8qLg-JpZbVC-KHdGn9-5L7uWH-eLLFX-6TTD46-PzZukG-aGMHKD-buSS6S-buSRbW-6aDLkh-k3dPde-9mDGTk-22jVUr2-EreJGP-24PUV7S-QfsxZ-jG1GCc-9mFDN7-21UJJfG-HXY2Lx-doSWaW-c3ZLsY-dsCgsL-Vg6Kyf" TargetMode="External"/><Relationship Id="rId28" Type="http://schemas.openxmlformats.org/officeDocument/2006/relationships/hyperlink" Target="https://www.nytimes.com/2022/09/20/business/europe-china-investment.html" TargetMode="External"/><Relationship Id="rId10" Type="http://schemas.openxmlformats.org/officeDocument/2006/relationships/hyperlink" Target="https://commons.wikimedia.org/wiki/File:UK-China_Energy_Cooperation_(6126957831).jpg" TargetMode="External"/><Relationship Id="rId19" Type="http://schemas.openxmlformats.org/officeDocument/2006/relationships/hyperlink" Target="https://commons.wikimedia.org/wiki/File:Azerbaijani_combattants_of_the_2020_Nagorno-Karabakh_conflict.jpg" TargetMode="External"/><Relationship Id="rId31" Type="http://schemas.openxmlformats.org/officeDocument/2006/relationships/hyperlink" Target="https://www.abc.net.au/news/science/2022-09-21/internet-online-safety-act-industry-codes/101456902" TargetMode="External"/><Relationship Id="rId4" Type="http://schemas.openxmlformats.org/officeDocument/2006/relationships/webSettings" Target="webSettings.xml"/><Relationship Id="rId9" Type="http://schemas.openxmlformats.org/officeDocument/2006/relationships/hyperlink" Target="https://insidestory.org.au/china-syndromes/" TargetMode="External"/><Relationship Id="rId14" Type="http://schemas.openxmlformats.org/officeDocument/2006/relationships/hyperlink" Target="https://www.flickr.com/photos/usnavy/6543759177/in/photolist-aYftC6-gXP9ag-oGAWfw-gitUNn-cnMShw-ofNhBT-ecaEHs-cnMSem-cnMSbf-bbGz7Z-ecntPW-9eRM2e-obkMrf-9oNtW6-eWzfeV-cGmdT5-9owKyM-wPcJEE-ofjcnH-9eUQry-eWDHwX-f3BerU-oALokC-ohxBtz-o44o3s-mqAKF9-ouPmA2-c72ogm-nxc3mD-dbTQTk-dV2VzL-cGkAiN-2nka4PV-9ieb8d-cGwJsb-dxruMP-bJM4iM-puKQ7b-aqYeeE-nN3gxn-cCsUyu-ovJFfa-cTruHA-cnMS6Y-cnMS2s-osG5Q6-dtyxxb-9xGrBz-cGp2nE-cJNHdu" TargetMode="External"/><Relationship Id="rId22" Type="http://schemas.openxmlformats.org/officeDocument/2006/relationships/hyperlink" Target="https://www.foreignaffairs.com/united-states/fractured-superpower-federalism-remaking-us-democracy-foreign-policy" TargetMode="External"/><Relationship Id="rId27" Type="http://schemas.openxmlformats.org/officeDocument/2006/relationships/hyperlink" Target="https://nationalinterest.org/feature/battle-over-russian-oil-just-beginning-204760" TargetMode="External"/><Relationship Id="rId30" Type="http://schemas.openxmlformats.org/officeDocument/2006/relationships/hyperlink" Target="https://www.reuters.com/world/middle-east/tehran-governor-accuses-protesters-attacks-least-22-arrested-2022-09-20/" TargetMode="External"/><Relationship Id="rId35" Type="http://schemas.openxmlformats.org/officeDocument/2006/relationships/theme" Target="theme/theme1.xml"/><Relationship Id="rId8" Type="http://schemas.openxmlformats.org/officeDocument/2006/relationships/hyperlink" Target="https://insidestory.org.au/china-syndr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2022-09-24T02:30:00Z</dcterms:created>
  <dcterms:modified xsi:type="dcterms:W3CDTF">2022-09-24T02:30:00Z</dcterms:modified>
</cp:coreProperties>
</file>