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036087B4" w14:textId="77777777" w:rsidTr="00D0239C">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D0239C" w14:paraId="74362D95" w14:textId="77777777">
              <w:tc>
                <w:tcPr>
                  <w:tcW w:w="0" w:type="auto"/>
                  <w:tcMar>
                    <w:top w:w="0" w:type="dxa"/>
                    <w:left w:w="135" w:type="dxa"/>
                    <w:bottom w:w="0" w:type="dxa"/>
                    <w:right w:w="135" w:type="dxa"/>
                  </w:tcMar>
                  <w:hideMark/>
                </w:tcPr>
                <w:p w14:paraId="71F23708" w14:textId="608E5D13" w:rsidR="00D0239C" w:rsidRDefault="00D0239C">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63F32FBE" wp14:editId="35643692">
                        <wp:extent cx="6475730" cy="1430655"/>
                        <wp:effectExtent l="0" t="0" r="1270" b="444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30655"/>
                                </a:xfrm>
                                <a:prstGeom prst="rect">
                                  <a:avLst/>
                                </a:prstGeom>
                                <a:noFill/>
                                <a:ln>
                                  <a:noFill/>
                                </a:ln>
                              </pic:spPr>
                            </pic:pic>
                          </a:graphicData>
                        </a:graphic>
                      </wp:inline>
                    </w:drawing>
                  </w:r>
                  <w:r>
                    <w:fldChar w:fldCharType="end"/>
                  </w:r>
                </w:p>
              </w:tc>
            </w:tr>
          </w:tbl>
          <w:p w14:paraId="5D7F9ABF" w14:textId="77777777" w:rsidR="00D0239C" w:rsidRDefault="00D0239C">
            <w:pPr>
              <w:rPr>
                <w:rFonts w:ascii="Times" w:hAnsi="Times"/>
                <w:color w:val="000000"/>
                <w:sz w:val="27"/>
                <w:szCs w:val="27"/>
              </w:rPr>
            </w:pPr>
          </w:p>
        </w:tc>
      </w:tr>
    </w:tbl>
    <w:p w14:paraId="2942B09A"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5F952225"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38E9B0C9" w14:textId="77777777">
              <w:tc>
                <w:tcPr>
                  <w:tcW w:w="0" w:type="auto"/>
                  <w:tcMar>
                    <w:top w:w="0" w:type="dxa"/>
                    <w:left w:w="270" w:type="dxa"/>
                    <w:bottom w:w="135" w:type="dxa"/>
                    <w:right w:w="270" w:type="dxa"/>
                  </w:tcMar>
                  <w:hideMark/>
                </w:tcPr>
                <w:p w14:paraId="7E7DBDDD" w14:textId="77777777" w:rsidR="00D0239C" w:rsidRDefault="00D0239C">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58 of:</w:t>
                  </w:r>
                </w:p>
              </w:tc>
            </w:tr>
          </w:tbl>
          <w:p w14:paraId="782FDF44" w14:textId="77777777" w:rsidR="00D0239C" w:rsidRDefault="00D0239C">
            <w:pPr>
              <w:rPr>
                <w:rFonts w:ascii="Times" w:hAnsi="Times"/>
                <w:color w:val="000000"/>
                <w:sz w:val="27"/>
                <w:szCs w:val="27"/>
              </w:rPr>
            </w:pPr>
          </w:p>
        </w:tc>
      </w:tr>
    </w:tbl>
    <w:p w14:paraId="774BDBC0"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7F6DF47A" w14:textId="77777777" w:rsidTr="00D0239C">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3BC31302" w14:textId="77777777">
              <w:tc>
                <w:tcPr>
                  <w:tcW w:w="0" w:type="auto"/>
                  <w:hideMark/>
                </w:tcPr>
                <w:p w14:paraId="343A4DAF" w14:textId="4C000066" w:rsidR="00D0239C" w:rsidRDefault="00D0239C">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037B66FE" wp14:editId="340557A4">
                        <wp:extent cx="6475730" cy="3636010"/>
                        <wp:effectExtent l="0" t="0" r="127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6010"/>
                                </a:xfrm>
                                <a:prstGeom prst="rect">
                                  <a:avLst/>
                                </a:prstGeom>
                                <a:noFill/>
                                <a:ln>
                                  <a:noFill/>
                                </a:ln>
                              </pic:spPr>
                            </pic:pic>
                          </a:graphicData>
                        </a:graphic>
                      </wp:inline>
                    </w:drawing>
                  </w:r>
                  <w:r>
                    <w:fldChar w:fldCharType="end"/>
                  </w:r>
                </w:p>
              </w:tc>
            </w:tr>
          </w:tbl>
          <w:p w14:paraId="45BD04CD" w14:textId="77777777" w:rsidR="00D0239C" w:rsidRDefault="00D0239C">
            <w:pPr>
              <w:rPr>
                <w:rFonts w:ascii="Times" w:hAnsi="Times"/>
                <w:color w:val="000000"/>
                <w:sz w:val="27"/>
                <w:szCs w:val="27"/>
              </w:rPr>
            </w:pPr>
          </w:p>
        </w:tc>
      </w:tr>
    </w:tbl>
    <w:p w14:paraId="3848DB84"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6E285955" w14:textId="77777777" w:rsidTr="00D0239C">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0239C" w14:paraId="2B3F4AE8" w14:textId="77777777">
              <w:tc>
                <w:tcPr>
                  <w:tcW w:w="0" w:type="auto"/>
                  <w:vAlign w:val="center"/>
                  <w:hideMark/>
                </w:tcPr>
                <w:p w14:paraId="5E1A1FB5" w14:textId="77777777" w:rsidR="00D0239C" w:rsidRDefault="00D0239C"/>
              </w:tc>
            </w:tr>
          </w:tbl>
          <w:p w14:paraId="36296C31" w14:textId="77777777" w:rsidR="00D0239C" w:rsidRDefault="00D0239C">
            <w:pPr>
              <w:rPr>
                <w:rFonts w:ascii="Times" w:hAnsi="Times"/>
                <w:color w:val="000000"/>
                <w:sz w:val="27"/>
                <w:szCs w:val="27"/>
              </w:rPr>
            </w:pPr>
          </w:p>
        </w:tc>
      </w:tr>
    </w:tbl>
    <w:p w14:paraId="1CF8014D"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4C7D9D02" w14:textId="77777777" w:rsidTr="00D0239C">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11D7222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0239C" w14:paraId="230578BA" w14:textId="77777777">
                    <w:tc>
                      <w:tcPr>
                        <w:tcW w:w="0" w:type="auto"/>
                        <w:shd w:val="clear" w:color="auto" w:fill="4B6AA2"/>
                        <w:tcMar>
                          <w:top w:w="270" w:type="dxa"/>
                          <w:left w:w="270" w:type="dxa"/>
                          <w:bottom w:w="270" w:type="dxa"/>
                          <w:right w:w="270" w:type="dxa"/>
                        </w:tcMar>
                        <w:hideMark/>
                      </w:tcPr>
                      <w:p w14:paraId="71569E58" w14:textId="77777777" w:rsidR="00D0239C" w:rsidRDefault="00D0239C">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23F53AA2" w14:textId="77777777" w:rsidR="00D0239C" w:rsidRDefault="00D0239C">
                  <w:pPr>
                    <w:rPr>
                      <w:rFonts w:ascii="Times New Roman" w:hAnsi="Times New Roman"/>
                    </w:rPr>
                  </w:pPr>
                </w:p>
              </w:tc>
            </w:tr>
          </w:tbl>
          <w:p w14:paraId="05453E8F" w14:textId="77777777" w:rsidR="00D0239C" w:rsidRDefault="00D0239C">
            <w:pPr>
              <w:rPr>
                <w:rFonts w:ascii="Times" w:hAnsi="Times"/>
                <w:color w:val="000000"/>
                <w:sz w:val="27"/>
                <w:szCs w:val="27"/>
              </w:rPr>
            </w:pPr>
          </w:p>
        </w:tc>
      </w:tr>
    </w:tbl>
    <w:p w14:paraId="09FD4440"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1E33ACEC"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4FD61C8B" w14:textId="77777777">
              <w:tc>
                <w:tcPr>
                  <w:tcW w:w="0" w:type="auto"/>
                  <w:tcMar>
                    <w:top w:w="0" w:type="dxa"/>
                    <w:left w:w="270" w:type="dxa"/>
                    <w:bottom w:w="135" w:type="dxa"/>
                    <w:right w:w="270" w:type="dxa"/>
                  </w:tcMar>
                  <w:hideMark/>
                </w:tcPr>
                <w:p w14:paraId="542FFBA7" w14:textId="77777777" w:rsidR="00D0239C" w:rsidRDefault="00D0239C">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explore various perspectives on Russia's war in Ukraine and the role of China in the upcoming Federal Election.</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6411E965" w14:textId="77777777" w:rsidR="00D0239C" w:rsidRDefault="00D0239C">
            <w:pPr>
              <w:rPr>
                <w:rFonts w:ascii="Times" w:hAnsi="Times"/>
                <w:color w:val="000000"/>
                <w:sz w:val="27"/>
                <w:szCs w:val="27"/>
              </w:rPr>
            </w:pPr>
          </w:p>
        </w:tc>
      </w:tr>
    </w:tbl>
    <w:p w14:paraId="3F7D9C6C"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0CF019B1"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3BC94214" w14:textId="77777777">
              <w:tc>
                <w:tcPr>
                  <w:tcW w:w="0" w:type="auto"/>
                  <w:vAlign w:val="center"/>
                  <w:hideMark/>
                </w:tcPr>
                <w:p w14:paraId="50E6A809" w14:textId="77777777" w:rsidR="00D0239C" w:rsidRDefault="00D0239C"/>
              </w:tc>
            </w:tr>
          </w:tbl>
          <w:p w14:paraId="32F8C6D1" w14:textId="77777777" w:rsidR="00D0239C" w:rsidRDefault="00D0239C">
            <w:pPr>
              <w:rPr>
                <w:rFonts w:ascii="Times" w:hAnsi="Times"/>
                <w:color w:val="000000"/>
                <w:sz w:val="27"/>
                <w:szCs w:val="27"/>
              </w:rPr>
            </w:pPr>
          </w:p>
        </w:tc>
      </w:tr>
    </w:tbl>
    <w:p w14:paraId="72166600"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7D377D0D" w14:textId="77777777" w:rsidTr="00D0239C">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0239C" w14:paraId="143E8C3A" w14:textId="77777777">
              <w:tc>
                <w:tcPr>
                  <w:tcW w:w="0" w:type="auto"/>
                  <w:tcMar>
                    <w:top w:w="0" w:type="dxa"/>
                    <w:left w:w="135" w:type="dxa"/>
                    <w:bottom w:w="135" w:type="dxa"/>
                    <w:right w:w="135" w:type="dxa"/>
                  </w:tcMar>
                  <w:hideMark/>
                </w:tcPr>
                <w:p w14:paraId="605411DF" w14:textId="63B1787F" w:rsidR="00D0239C" w:rsidRDefault="00D0239C">
                  <w:r>
                    <w:lastRenderedPageBreak/>
                    <w:fldChar w:fldCharType="begin"/>
                  </w:r>
                  <w:r>
                    <w:instrText xml:space="preserve"> INCLUDEPICTURE "https://mcusercontent.com/0e9feb1606f1b4129a8b65828/images/e60e2000-c055-718a-fc11-b828c51e824e.jpg" \* MERGEFORMATINET </w:instrText>
                  </w:r>
                  <w:r>
                    <w:fldChar w:fldCharType="separate"/>
                  </w:r>
                  <w:r>
                    <w:rPr>
                      <w:noProof/>
                    </w:rPr>
                    <w:drawing>
                      <wp:inline distT="0" distB="0" distL="0" distR="0" wp14:anchorId="302ABF05" wp14:editId="3D28DCF5">
                        <wp:extent cx="6475730" cy="4285615"/>
                        <wp:effectExtent l="0" t="0" r="1270" b="0"/>
                        <wp:docPr id="12" name="Picture 12" descr="A picture containing red,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red, auditoriu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285615"/>
                                </a:xfrm>
                                <a:prstGeom prst="rect">
                                  <a:avLst/>
                                </a:prstGeom>
                                <a:noFill/>
                                <a:ln>
                                  <a:noFill/>
                                </a:ln>
                              </pic:spPr>
                            </pic:pic>
                          </a:graphicData>
                        </a:graphic>
                      </wp:inline>
                    </w:drawing>
                  </w:r>
                  <w:r>
                    <w:fldChar w:fldCharType="end"/>
                  </w:r>
                </w:p>
              </w:tc>
            </w:tr>
            <w:tr w:rsidR="00D0239C" w14:paraId="7C86198F" w14:textId="77777777">
              <w:tc>
                <w:tcPr>
                  <w:tcW w:w="8460" w:type="dxa"/>
                  <w:tcMar>
                    <w:top w:w="0" w:type="dxa"/>
                    <w:left w:w="135" w:type="dxa"/>
                    <w:bottom w:w="0" w:type="dxa"/>
                    <w:right w:w="135" w:type="dxa"/>
                  </w:tcMar>
                  <w:hideMark/>
                </w:tcPr>
                <w:p w14:paraId="3E965C58" w14:textId="77777777" w:rsidR="00D0239C" w:rsidRDefault="00D0239C">
                  <w:pPr>
                    <w:pStyle w:val="NormalWeb"/>
                    <w:spacing w:before="150" w:beforeAutospacing="0" w:after="150" w:afterAutospacing="0" w:line="300" w:lineRule="atLeast"/>
                    <w:rPr>
                      <w:rFonts w:ascii="Verdana" w:hAnsi="Verdana"/>
                      <w:color w:val="000000"/>
                    </w:rPr>
                  </w:pPr>
                  <w:hyperlink r:id="rId8" w:tgtFrame="_blank" w:history="1">
                    <w:r>
                      <w:rPr>
                        <w:rStyle w:val="Strong"/>
                        <w:rFonts w:ascii="Helvetica Neue" w:hAnsi="Helvetica Neue"/>
                        <w:color w:val="4C6AA2"/>
                        <w:sz w:val="30"/>
                        <w:szCs w:val="30"/>
                      </w:rPr>
                      <w:t>China and the Federal Election</w:t>
                    </w:r>
                  </w:hyperlink>
                </w:p>
                <w:p w14:paraId="29617C8E" w14:textId="77777777" w:rsidR="00D0239C" w:rsidRDefault="00D0239C">
                  <w:pPr>
                    <w:pStyle w:val="NormalWeb"/>
                    <w:spacing w:before="150" w:beforeAutospacing="0" w:after="150" w:afterAutospacing="0" w:line="300" w:lineRule="atLeast"/>
                    <w:jc w:val="both"/>
                    <w:rPr>
                      <w:rFonts w:ascii="Verdana" w:hAnsi="Verdana"/>
                      <w:color w:val="000000"/>
                    </w:rPr>
                  </w:pPr>
                  <w:r>
                    <w:rPr>
                      <w:rFonts w:ascii="Helvetica Neue" w:hAnsi="Helvetica Neue"/>
                      <w:color w:val="000000"/>
                      <w:sz w:val="18"/>
                      <w:szCs w:val="18"/>
                    </w:rPr>
                    <w:t xml:space="preserve">China relations have featured in the election campaign, which is rather unusual. The Liberals say that </w:t>
                  </w:r>
                  <w:proofErr w:type="spellStart"/>
                  <w:r>
                    <w:rPr>
                      <w:rFonts w:ascii="Helvetica Neue" w:hAnsi="Helvetica Neue"/>
                      <w:color w:val="000000"/>
                      <w:sz w:val="18"/>
                      <w:szCs w:val="18"/>
                    </w:rPr>
                    <w:t>Labor</w:t>
                  </w:r>
                  <w:proofErr w:type="spellEnd"/>
                  <w:r>
                    <w:rPr>
                      <w:rFonts w:ascii="Helvetica Neue" w:hAnsi="Helvetica Neue"/>
                      <w:color w:val="000000"/>
                      <w:sz w:val="18"/>
                      <w:szCs w:val="18"/>
                    </w:rPr>
                    <w:t xml:space="preserve"> is soft on China and </w:t>
                  </w:r>
                  <w:proofErr w:type="spellStart"/>
                  <w:r>
                    <w:rPr>
                      <w:rFonts w:ascii="Helvetica Neue" w:hAnsi="Helvetica Neue"/>
                      <w:color w:val="000000"/>
                      <w:sz w:val="18"/>
                      <w:szCs w:val="18"/>
                    </w:rPr>
                    <w:t>Labor</w:t>
                  </w:r>
                  <w:proofErr w:type="spellEnd"/>
                  <w:r>
                    <w:rPr>
                      <w:rFonts w:ascii="Helvetica Neue" w:hAnsi="Helvetica Neue"/>
                      <w:color w:val="000000"/>
                      <w:sz w:val="18"/>
                      <w:szCs w:val="18"/>
                    </w:rPr>
                    <w:t xml:space="preserve"> counters by accusing the Government of botching relations with the Solomon Islands, who have signed a security treaty with the PRC. Although Solomons Prime Minister </w:t>
                  </w:r>
                  <w:proofErr w:type="spellStart"/>
                  <w:r>
                    <w:rPr>
                      <w:rFonts w:ascii="Helvetica Neue" w:hAnsi="Helvetica Neue"/>
                      <w:color w:val="000000"/>
                      <w:sz w:val="18"/>
                      <w:szCs w:val="18"/>
                    </w:rPr>
                    <w:t>Sogavare</w:t>
                  </w:r>
                  <w:proofErr w:type="spellEnd"/>
                  <w:r>
                    <w:rPr>
                      <w:rFonts w:ascii="Helvetica Neue" w:hAnsi="Helvetica Neue"/>
                      <w:color w:val="000000"/>
                      <w:sz w:val="18"/>
                      <w:szCs w:val="18"/>
                    </w:rPr>
                    <w:t xml:space="preserve"> has denied that the treaty was timed to disrupt the Australian election, whatever the case, the development is clearly a major concern and deserving of some informed analysis. There has been a lot of press comment on the significance of the agreement, from which I recommend two short posts in the current affairs blog Pearls and Irritations by former Director General of the Office of National Assessments Geoff Miller, </w:t>
                  </w:r>
                  <w:hyperlink r:id="rId9" w:tgtFrame="_blank" w:history="1">
                    <w:r>
                      <w:rPr>
                        <w:rStyle w:val="Hyperlink"/>
                        <w:rFonts w:ascii="Helvetica Neue" w:hAnsi="Helvetica Neue"/>
                        <w:b/>
                        <w:bCs/>
                        <w:i/>
                        <w:iCs/>
                        <w:color w:val="4C6AA2"/>
                        <w:sz w:val="18"/>
                        <w:szCs w:val="18"/>
                      </w:rPr>
                      <w:t>Ukraine, India, China and Australia: A Khaki Election?</w:t>
                    </w:r>
                  </w:hyperlink>
                  <w:r>
                    <w:rPr>
                      <w:rFonts w:ascii="Helvetica Neue" w:hAnsi="Helvetica Neue"/>
                      <w:color w:val="000000"/>
                      <w:sz w:val="18"/>
                      <w:szCs w:val="18"/>
                    </w:rPr>
                    <w:t> and </w:t>
                  </w:r>
                  <w:hyperlink r:id="rId10" w:tgtFrame="_blank" w:history="1">
                    <w:r>
                      <w:rPr>
                        <w:rStyle w:val="Emphasis"/>
                        <w:rFonts w:ascii="Helvetica Neue" w:hAnsi="Helvetica Neue"/>
                        <w:b/>
                        <w:bCs/>
                        <w:color w:val="4C6AA2"/>
                        <w:sz w:val="18"/>
                        <w:szCs w:val="18"/>
                      </w:rPr>
                      <w:t>Australia is Still in Fear of China</w:t>
                    </w:r>
                  </w:hyperlink>
                  <w:r>
                    <w:rPr>
                      <w:rFonts w:ascii="Helvetica Neue" w:hAnsi="Helvetica Neue"/>
                      <w:color w:val="000000"/>
                      <w:sz w:val="18"/>
                      <w:szCs w:val="18"/>
                    </w:rPr>
                    <w:t>. Hamish McDonald, writing </w:t>
                  </w:r>
                  <w:hyperlink r:id="rId11" w:tgtFrame="_blank" w:history="1">
                    <w:r>
                      <w:rPr>
                        <w:rStyle w:val="Hyperlink"/>
                        <w:rFonts w:ascii="Helvetica Neue" w:hAnsi="Helvetica Neue"/>
                        <w:b/>
                        <w:bCs/>
                        <w:color w:val="4C6AA2"/>
                        <w:sz w:val="18"/>
                        <w:szCs w:val="18"/>
                      </w:rPr>
                      <w:t>in the Sydney Morning Herald</w:t>
                    </w:r>
                  </w:hyperlink>
                  <w:r>
                    <w:rPr>
                      <w:rFonts w:ascii="Helvetica Neue" w:hAnsi="Helvetica Neue"/>
                      <w:color w:val="000000"/>
                      <w:sz w:val="18"/>
                      <w:szCs w:val="18"/>
                    </w:rPr>
                    <w:t>, considers what Canberra’s handling of the Solomons’ security agreement reveals about the priorities and performance of the Department of Foreign Affairs and security agencies. He makes the point that a definite commitment by the government to action on climate change would do a lot to boost relations with Pacific Island neighbours. Bernard Keane and Clinton Fernandes in a piece in</w:t>
                  </w:r>
                  <w:r>
                    <w:rPr>
                      <w:rStyle w:val="Emphasis"/>
                      <w:rFonts w:ascii="Helvetica Neue" w:hAnsi="Helvetica Neue"/>
                      <w:color w:val="000000"/>
                      <w:sz w:val="18"/>
                      <w:szCs w:val="18"/>
                    </w:rPr>
                    <w:t> Crikey</w:t>
                  </w:r>
                  <w:r>
                    <w:rPr>
                      <w:rFonts w:ascii="Helvetica Neue" w:hAnsi="Helvetica Neue"/>
                      <w:color w:val="000000"/>
                      <w:sz w:val="18"/>
                      <w:szCs w:val="18"/>
                    </w:rPr>
                    <w:t> on 29 April titled </w:t>
                  </w:r>
                  <w:hyperlink r:id="rId12" w:tgtFrame="_blank" w:history="1">
                    <w:r>
                      <w:rPr>
                        <w:rStyle w:val="Emphasis"/>
                        <w:rFonts w:ascii="Helvetica Neue" w:hAnsi="Helvetica Neue"/>
                        <w:b/>
                        <w:bCs/>
                        <w:color w:val="4C6AA2"/>
                        <w:sz w:val="18"/>
                        <w:szCs w:val="18"/>
                      </w:rPr>
                      <w:t>Seeing Signs: Intelligence Chiefs Dig Deeper on Solomons Debacle</w:t>
                    </w:r>
                  </w:hyperlink>
                  <w:r>
                    <w:rPr>
                      <w:rFonts w:ascii="Helvetica Neue" w:hAnsi="Helvetica Neue"/>
                      <w:color w:val="000000"/>
                      <w:sz w:val="18"/>
                      <w:szCs w:val="18"/>
                    </w:rPr>
                    <w:t> analyse what they call a major intelligence failure that Andrew Shearer, current head of ONA, admits goes back more than a decade. University of Adelaide's Professor Joanne Wallis and Dr </w:t>
                  </w:r>
                  <w:proofErr w:type="spellStart"/>
                  <w:r>
                    <w:rPr>
                      <w:rFonts w:ascii="Helvetica Neue" w:hAnsi="Helvetica Neue"/>
                      <w:color w:val="000000"/>
                      <w:sz w:val="18"/>
                      <w:szCs w:val="18"/>
                    </w:rPr>
                    <w:t>Czeslaw</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Tubilewic</w:t>
                  </w:r>
                  <w:proofErr w:type="spellEnd"/>
                  <w:r>
                    <w:rPr>
                      <w:rFonts w:ascii="Helvetica Neue" w:hAnsi="Helvetica Neue"/>
                      <w:color w:val="000000"/>
                      <w:sz w:val="18"/>
                      <w:szCs w:val="18"/>
                    </w:rPr>
                    <w:t>, </w:t>
                  </w:r>
                  <w:hyperlink r:id="rId13" w:tgtFrame="_blank" w:history="1">
                    <w:r>
                      <w:rPr>
                        <w:rStyle w:val="Hyperlink"/>
                        <w:rFonts w:ascii="Helvetica Neue" w:hAnsi="Helvetica Neue"/>
                        <w:b/>
                        <w:bCs/>
                        <w:color w:val="4C6AA2"/>
                        <w:sz w:val="18"/>
                        <w:szCs w:val="18"/>
                      </w:rPr>
                      <w:t>writing in </w:t>
                    </w:r>
                    <w:r>
                      <w:rPr>
                        <w:rStyle w:val="Emphasis"/>
                        <w:rFonts w:ascii="Helvetica Neue" w:hAnsi="Helvetica Neue"/>
                        <w:b/>
                        <w:bCs/>
                        <w:color w:val="4C6AA2"/>
                        <w:sz w:val="18"/>
                        <w:szCs w:val="18"/>
                      </w:rPr>
                      <w:t>The Conversation</w:t>
                    </w:r>
                  </w:hyperlink>
                  <w:hyperlink r:id="rId14" w:history="1">
                    <w:r>
                      <w:rPr>
                        <w:rStyle w:val="Hyperlink"/>
                        <w:rFonts w:ascii="Helvetica Neue" w:hAnsi="Helvetica Neue"/>
                        <w:b/>
                        <w:bCs/>
                        <w:color w:val="4C6AA2"/>
                        <w:sz w:val="18"/>
                        <w:szCs w:val="18"/>
                      </w:rPr>
                      <w:t>,</w:t>
                    </w:r>
                  </w:hyperlink>
                  <w:r>
                    <w:rPr>
                      <w:rFonts w:ascii="Helvetica Neue" w:hAnsi="Helvetica Neue"/>
                      <w:color w:val="000000"/>
                      <w:sz w:val="18"/>
                      <w:szCs w:val="18"/>
                    </w:rPr>
                    <w:t xml:space="preserve"> says that Canberra does not understand power dynamics in the Pacific Islands and denies the commonly-held view that China “bought” a military base in the Solomons. China’s foreign affairs spokesperson Wang </w:t>
                  </w:r>
                  <w:proofErr w:type="spellStart"/>
                  <w:r>
                    <w:rPr>
                      <w:rFonts w:ascii="Helvetica Neue" w:hAnsi="Helvetica Neue"/>
                      <w:color w:val="000000"/>
                      <w:sz w:val="18"/>
                      <w:szCs w:val="18"/>
                    </w:rPr>
                    <w:t>Wenbin</w:t>
                  </w:r>
                  <w:proofErr w:type="spellEnd"/>
                  <w:r>
                    <w:rPr>
                      <w:rFonts w:ascii="Helvetica Neue" w:hAnsi="Helvetica Neue"/>
                      <w:color w:val="000000"/>
                      <w:sz w:val="18"/>
                      <w:szCs w:val="18"/>
                    </w:rPr>
                    <w:t xml:space="preserve"> (as might be expected) has said the framework agreement is “normal exchange and cooperation between two sovereign and independent countries.”</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5" w:tgtFrame="_blank" w:history="1">
                    <w:r>
                      <w:rPr>
                        <w:rStyle w:val="Hyperlink"/>
                        <w:rFonts w:ascii="Helvetica Neue" w:hAnsi="Helvetica Neue"/>
                        <w:b/>
                        <w:bCs/>
                        <w:color w:val="4C6AA2"/>
                        <w:sz w:val="17"/>
                        <w:szCs w:val="17"/>
                      </w:rPr>
                      <w:t xml:space="preserve">Joe and </w:t>
                    </w:r>
                    <w:proofErr w:type="spellStart"/>
                    <w:r>
                      <w:rPr>
                        <w:rStyle w:val="Hyperlink"/>
                        <w:rFonts w:ascii="Helvetica Neue" w:hAnsi="Helvetica Neue"/>
                        <w:b/>
                        <w:bCs/>
                        <w:color w:val="4C6AA2"/>
                        <w:sz w:val="17"/>
                        <w:szCs w:val="17"/>
                      </w:rPr>
                      <w:t>Margy</w:t>
                    </w:r>
                    <w:proofErr w:type="spellEnd"/>
                  </w:hyperlink>
                </w:p>
                <w:p w14:paraId="1BF40C3C" w14:textId="77777777" w:rsidR="00D0239C" w:rsidRDefault="00D0239C" w:rsidP="00D0239C">
                  <w:pPr>
                    <w:spacing w:line="300" w:lineRule="atLeast"/>
                    <w:rPr>
                      <w:rFonts w:ascii="Verdana" w:hAnsi="Verdana"/>
                      <w:color w:val="000000"/>
                    </w:rPr>
                  </w:pPr>
                  <w:r>
                    <w:rPr>
                      <w:rFonts w:ascii="Verdana" w:hAnsi="Verdana"/>
                      <w:color w:val="000000"/>
                    </w:rPr>
                    <w:lastRenderedPageBreak/>
                    <w:t> </w:t>
                  </w:r>
                </w:p>
              </w:tc>
            </w:tr>
          </w:tbl>
          <w:p w14:paraId="3F8F72E4" w14:textId="77777777" w:rsidR="00D0239C" w:rsidRDefault="00D0239C">
            <w:pPr>
              <w:rPr>
                <w:rFonts w:ascii="Times" w:hAnsi="Times"/>
                <w:color w:val="000000"/>
                <w:sz w:val="27"/>
                <w:szCs w:val="27"/>
              </w:rPr>
            </w:pPr>
          </w:p>
        </w:tc>
      </w:tr>
    </w:tbl>
    <w:p w14:paraId="54C54EF6"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7577CBC1"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4AEAE39D" w14:textId="77777777">
              <w:tc>
                <w:tcPr>
                  <w:tcW w:w="0" w:type="auto"/>
                  <w:vAlign w:val="center"/>
                  <w:hideMark/>
                </w:tcPr>
                <w:p w14:paraId="30731B4B" w14:textId="77777777" w:rsidR="00D0239C" w:rsidRDefault="00D0239C"/>
              </w:tc>
            </w:tr>
          </w:tbl>
          <w:p w14:paraId="302ACFEF" w14:textId="77777777" w:rsidR="00D0239C" w:rsidRDefault="00D0239C">
            <w:pPr>
              <w:rPr>
                <w:rFonts w:ascii="Times" w:hAnsi="Times"/>
                <w:color w:val="000000"/>
                <w:sz w:val="27"/>
                <w:szCs w:val="27"/>
              </w:rPr>
            </w:pPr>
          </w:p>
        </w:tc>
      </w:tr>
    </w:tbl>
    <w:p w14:paraId="0FD09358"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4835404D"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79BD052F" w14:textId="77777777">
              <w:tc>
                <w:tcPr>
                  <w:tcW w:w="0" w:type="auto"/>
                  <w:tcMar>
                    <w:top w:w="0" w:type="dxa"/>
                    <w:left w:w="270" w:type="dxa"/>
                    <w:bottom w:w="135" w:type="dxa"/>
                    <w:right w:w="270" w:type="dxa"/>
                  </w:tcMar>
                  <w:hideMark/>
                </w:tcPr>
                <w:p w14:paraId="4FB13D8E" w14:textId="77777777" w:rsidR="00D0239C" w:rsidRDefault="00D0239C" w:rsidP="00D0239C">
                  <w:pPr>
                    <w:spacing w:line="360" w:lineRule="atLeast"/>
                    <w:rPr>
                      <w:rFonts w:ascii="Arial" w:hAnsi="Arial" w:cs="Arial"/>
                      <w:color w:val="000000"/>
                    </w:rPr>
                  </w:pPr>
                  <w:r>
                    <w:rPr>
                      <w:rStyle w:val="Emphasis"/>
                      <w:rFonts w:ascii="Helvetica Neue" w:hAnsi="Helvetica Neue" w:cs="Arial"/>
                      <w:color w:val="000000"/>
                      <w:sz w:val="17"/>
                      <w:szCs w:val="17"/>
                    </w:rPr>
                    <w:t>These articles were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p w14:paraId="5D935F54" w14:textId="77777777" w:rsidR="00D0239C" w:rsidRDefault="00D0239C" w:rsidP="00D0239C">
                  <w:pPr>
                    <w:spacing w:line="360" w:lineRule="atLeast"/>
                    <w:rPr>
                      <w:rFonts w:ascii="Arial" w:hAnsi="Arial" w:cs="Arial"/>
                      <w:color w:val="000000"/>
                    </w:rPr>
                  </w:pPr>
                  <w:r>
                    <w:rPr>
                      <w:rFonts w:ascii="Arial" w:hAnsi="Arial" w:cs="Arial"/>
                      <w:color w:val="000000"/>
                    </w:rPr>
                    <w:t> </w:t>
                  </w:r>
                </w:p>
              </w:tc>
            </w:tr>
          </w:tbl>
          <w:p w14:paraId="637CDCF3" w14:textId="77777777" w:rsidR="00D0239C" w:rsidRDefault="00D0239C">
            <w:pPr>
              <w:rPr>
                <w:rFonts w:ascii="Times" w:hAnsi="Times" w:cs="Times New Roman"/>
                <w:color w:val="000000"/>
                <w:sz w:val="27"/>
                <w:szCs w:val="27"/>
              </w:rPr>
            </w:pPr>
          </w:p>
        </w:tc>
      </w:tr>
    </w:tbl>
    <w:p w14:paraId="3DF0A4A3"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2E9BFC92"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25EC47FC" w14:textId="77777777">
              <w:tc>
                <w:tcPr>
                  <w:tcW w:w="0" w:type="auto"/>
                  <w:vAlign w:val="center"/>
                  <w:hideMark/>
                </w:tcPr>
                <w:p w14:paraId="53E8D2D0" w14:textId="77777777" w:rsidR="00D0239C" w:rsidRDefault="00D0239C"/>
              </w:tc>
            </w:tr>
          </w:tbl>
          <w:p w14:paraId="749260E4" w14:textId="77777777" w:rsidR="00D0239C" w:rsidRDefault="00D0239C">
            <w:pPr>
              <w:rPr>
                <w:rFonts w:ascii="Times" w:hAnsi="Times"/>
                <w:color w:val="000000"/>
                <w:sz w:val="27"/>
                <w:szCs w:val="27"/>
              </w:rPr>
            </w:pPr>
          </w:p>
        </w:tc>
      </w:tr>
    </w:tbl>
    <w:p w14:paraId="31353CB0"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46391B6C" w14:textId="77777777" w:rsidTr="00D0239C">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0239C" w14:paraId="7F740F66" w14:textId="77777777">
              <w:tc>
                <w:tcPr>
                  <w:tcW w:w="0" w:type="auto"/>
                  <w:tcMar>
                    <w:top w:w="0" w:type="dxa"/>
                    <w:left w:w="135" w:type="dxa"/>
                    <w:bottom w:w="135" w:type="dxa"/>
                    <w:right w:w="135" w:type="dxa"/>
                  </w:tcMar>
                  <w:hideMark/>
                </w:tcPr>
                <w:p w14:paraId="626608FF" w14:textId="55715459" w:rsidR="00D0239C" w:rsidRDefault="00D0239C">
                  <w:r>
                    <w:fldChar w:fldCharType="begin"/>
                  </w:r>
                  <w:r>
                    <w:instrText xml:space="preserve"> INCLUDEPICTURE "https://mcusercontent.com/0e9feb1606f1b4129a8b65828/images/4fc9374c-330f-9a30-f110-268a8a8577a2.jpg" \* MERGEFORMATINET </w:instrText>
                  </w:r>
                  <w:r>
                    <w:fldChar w:fldCharType="separate"/>
                  </w:r>
                  <w:r>
                    <w:rPr>
                      <w:noProof/>
                    </w:rPr>
                    <w:drawing>
                      <wp:inline distT="0" distB="0" distL="0" distR="0" wp14:anchorId="72EEE4C0" wp14:editId="3869FF3B">
                        <wp:extent cx="6475730" cy="4323080"/>
                        <wp:effectExtent l="0" t="0" r="1270" b="0"/>
                        <wp:docPr id="11" name="Picture 11" descr="A group of co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oin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5730" cy="4323080"/>
                                </a:xfrm>
                                <a:prstGeom prst="rect">
                                  <a:avLst/>
                                </a:prstGeom>
                                <a:noFill/>
                                <a:ln>
                                  <a:noFill/>
                                </a:ln>
                              </pic:spPr>
                            </pic:pic>
                          </a:graphicData>
                        </a:graphic>
                      </wp:inline>
                    </w:drawing>
                  </w:r>
                  <w:r>
                    <w:fldChar w:fldCharType="end"/>
                  </w:r>
                </w:p>
              </w:tc>
            </w:tr>
            <w:tr w:rsidR="00D0239C" w14:paraId="7F7CAF35" w14:textId="77777777">
              <w:tc>
                <w:tcPr>
                  <w:tcW w:w="8460" w:type="dxa"/>
                  <w:tcMar>
                    <w:top w:w="0" w:type="dxa"/>
                    <w:left w:w="135" w:type="dxa"/>
                    <w:bottom w:w="0" w:type="dxa"/>
                    <w:right w:w="135" w:type="dxa"/>
                  </w:tcMar>
                  <w:hideMark/>
                </w:tcPr>
                <w:p w14:paraId="227FCA6C" w14:textId="77777777" w:rsidR="00D0239C" w:rsidRDefault="00D0239C">
                  <w:pPr>
                    <w:pStyle w:val="NormalWeb"/>
                    <w:spacing w:before="150" w:beforeAutospacing="0" w:after="150" w:afterAutospacing="0" w:line="300" w:lineRule="atLeast"/>
                    <w:rPr>
                      <w:rFonts w:ascii="Verdana" w:hAnsi="Verdana"/>
                      <w:color w:val="000000"/>
                    </w:rPr>
                  </w:pPr>
                  <w:hyperlink r:id="rId17" w:tgtFrame="_blank" w:history="1">
                    <w:r>
                      <w:rPr>
                        <w:rStyle w:val="Strong"/>
                        <w:rFonts w:ascii="Helvetica Neue" w:hAnsi="Helvetica Neue"/>
                        <w:color w:val="4C6AA2"/>
                        <w:sz w:val="30"/>
                        <w:szCs w:val="30"/>
                      </w:rPr>
                      <w:t>Are Sanctions Worse Than Slaughter?</w:t>
                    </w:r>
                  </w:hyperlink>
                  <w:r>
                    <w:rPr>
                      <w:rFonts w:ascii="Verdana" w:hAnsi="Verdana"/>
                      <w:color w:val="000000"/>
                    </w:rPr>
                    <w:br/>
                  </w:r>
                  <w:r>
                    <w:rPr>
                      <w:rFonts w:ascii="Helvetica Neue" w:hAnsi="Helvetica Neue"/>
                      <w:color w:val="000000"/>
                      <w:sz w:val="18"/>
                      <w:szCs w:val="18"/>
                    </w:rPr>
                    <w:t> </w:t>
                  </w:r>
                </w:p>
                <w:p w14:paraId="1B854935" w14:textId="77777777" w:rsidR="00D0239C" w:rsidRDefault="00D0239C">
                  <w:pPr>
                    <w:pStyle w:val="NormalWeb"/>
                    <w:spacing w:before="150" w:beforeAutospacing="0" w:after="150" w:afterAutospacing="0" w:line="300" w:lineRule="atLeast"/>
                    <w:jc w:val="both"/>
                    <w:rPr>
                      <w:rFonts w:ascii="Verdana" w:hAnsi="Verdana"/>
                      <w:color w:val="000000"/>
                    </w:rPr>
                  </w:pPr>
                  <w:r>
                    <w:rPr>
                      <w:rFonts w:ascii="Helvetica Neue" w:hAnsi="Helvetica Neue"/>
                      <w:color w:val="000000"/>
                      <w:sz w:val="18"/>
                      <w:szCs w:val="18"/>
                    </w:rPr>
                    <w:t>In times of impending conflict, sanctions offer the allure of action without bloodshed. But a </w:t>
                  </w:r>
                  <w:hyperlink r:id="rId18" w:history="1">
                    <w:r>
                      <w:rPr>
                        <w:rStyle w:val="Hyperlink"/>
                        <w:rFonts w:ascii="Helvetica Neue" w:hAnsi="Helvetica Neue"/>
                        <w:b/>
                        <w:bCs/>
                        <w:color w:val="4C6AA2"/>
                        <w:sz w:val="18"/>
                        <w:szCs w:val="18"/>
                      </w:rPr>
                      <w:t>review article</w:t>
                    </w:r>
                  </w:hyperlink>
                  <w:r>
                    <w:rPr>
                      <w:rFonts w:ascii="Helvetica Neue" w:hAnsi="Helvetica Neue"/>
                      <w:color w:val="000000"/>
                      <w:sz w:val="18"/>
                      <w:szCs w:val="18"/>
                    </w:rPr>
                    <w:t> by Tom Stevenson in the </w:t>
                  </w:r>
                  <w:r>
                    <w:rPr>
                      <w:rStyle w:val="Emphasis"/>
                      <w:rFonts w:ascii="Helvetica Neue" w:hAnsi="Helvetica Neue"/>
                      <w:color w:val="000000"/>
                      <w:sz w:val="18"/>
                      <w:szCs w:val="18"/>
                    </w:rPr>
                    <w:t>London Review of Books</w:t>
                  </w:r>
                  <w:r>
                    <w:rPr>
                      <w:rFonts w:ascii="Helvetica Neue" w:hAnsi="Helvetica Neue"/>
                      <w:color w:val="000000"/>
                      <w:sz w:val="18"/>
                      <w:szCs w:val="18"/>
                    </w:rPr>
                    <w:t xml:space="preserve"> reaches a bleak assessment of sanctions as a tool of modern war. They have resulted in starvation and collapsed economies in target countries such as Iran, Syria, </w:t>
                  </w:r>
                  <w:proofErr w:type="gramStart"/>
                  <w:r>
                    <w:rPr>
                      <w:rFonts w:ascii="Helvetica Neue" w:hAnsi="Helvetica Neue"/>
                      <w:color w:val="000000"/>
                      <w:sz w:val="18"/>
                      <w:szCs w:val="18"/>
                    </w:rPr>
                    <w:t>Vietnam</w:t>
                  </w:r>
                  <w:proofErr w:type="gramEnd"/>
                  <w:r>
                    <w:rPr>
                      <w:rFonts w:ascii="Helvetica Neue" w:hAnsi="Helvetica Neue"/>
                      <w:color w:val="000000"/>
                      <w:sz w:val="18"/>
                      <w:szCs w:val="18"/>
                    </w:rPr>
                    <w:t xml:space="preserve"> and Cuba, with grim effects on the population at large but without leading to regime change or policy redirection. Their effects on the countries imposing the sanctions have been harmful (as we’re seeing in western Europe following the current energy and other sanctions on Russia). They have often been a prelude to armed conflict. As war talk over Taiwan hots up, sanctions against China will be advocated: the disruption to the global economic system and to human welfare if they were adopted would be disastrous.</w:t>
                  </w:r>
                </w:p>
                <w:p w14:paraId="63564407" w14:textId="77777777" w:rsidR="00D0239C" w:rsidRDefault="00D0239C">
                  <w:pPr>
                    <w:pStyle w:val="NormalWeb"/>
                    <w:spacing w:before="150" w:beforeAutospacing="0" w:after="150" w:afterAutospacing="0" w:line="300" w:lineRule="atLeast"/>
                    <w:rPr>
                      <w:rFonts w:ascii="Verdana" w:hAnsi="Verdana"/>
                      <w:color w:val="000000"/>
                    </w:rPr>
                  </w:pPr>
                  <w:r>
                    <w:rPr>
                      <w:rFonts w:ascii="Verdana" w:hAnsi="Verdana"/>
                      <w:color w:val="000000"/>
                    </w:rPr>
                    <w:lastRenderedPageBreak/>
                    <w:br/>
                  </w:r>
                  <w:r>
                    <w:rPr>
                      <w:rFonts w:ascii="Helvetica Neue" w:hAnsi="Helvetica Neue"/>
                      <w:color w:val="000000"/>
                      <w:sz w:val="17"/>
                      <w:szCs w:val="17"/>
                    </w:rPr>
                    <w:t>Image credit: </w:t>
                  </w:r>
                  <w:hyperlink r:id="rId19" w:tgtFrame="_blank" w:history="1">
                    <w:r>
                      <w:rPr>
                        <w:rStyle w:val="Hyperlink"/>
                        <w:rFonts w:ascii="Helvetica Neue" w:hAnsi="Helvetica Neue"/>
                        <w:b/>
                        <w:bCs/>
                        <w:color w:val="4C6AA2"/>
                        <w:sz w:val="17"/>
                        <w:szCs w:val="17"/>
                      </w:rPr>
                      <w:t>Steve Johnson</w:t>
                    </w:r>
                  </w:hyperlink>
                </w:p>
              </w:tc>
            </w:tr>
          </w:tbl>
          <w:p w14:paraId="6D5A8F52" w14:textId="77777777" w:rsidR="00D0239C" w:rsidRDefault="00D0239C">
            <w:pPr>
              <w:rPr>
                <w:rFonts w:ascii="Times" w:hAnsi="Times"/>
                <w:color w:val="000000"/>
                <w:sz w:val="27"/>
                <w:szCs w:val="27"/>
              </w:rPr>
            </w:pPr>
          </w:p>
        </w:tc>
      </w:tr>
    </w:tbl>
    <w:p w14:paraId="17DDE7F6"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2F73B570"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4305EB9D" w14:textId="77777777">
              <w:tc>
                <w:tcPr>
                  <w:tcW w:w="0" w:type="auto"/>
                  <w:vAlign w:val="center"/>
                  <w:hideMark/>
                </w:tcPr>
                <w:p w14:paraId="37188728" w14:textId="77777777" w:rsidR="00D0239C" w:rsidRDefault="00D0239C"/>
              </w:tc>
            </w:tr>
          </w:tbl>
          <w:p w14:paraId="552CB6F5" w14:textId="77777777" w:rsidR="00D0239C" w:rsidRDefault="00D0239C">
            <w:pPr>
              <w:rPr>
                <w:rFonts w:ascii="Times" w:hAnsi="Times"/>
                <w:color w:val="000000"/>
                <w:sz w:val="27"/>
                <w:szCs w:val="27"/>
              </w:rPr>
            </w:pPr>
          </w:p>
        </w:tc>
      </w:tr>
    </w:tbl>
    <w:p w14:paraId="05045AC4"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463816A8"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51D272BE"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0239C" w14:paraId="024BF7AB" w14:textId="77777777">
                    <w:tc>
                      <w:tcPr>
                        <w:tcW w:w="0" w:type="auto"/>
                        <w:hideMark/>
                      </w:tcPr>
                      <w:p w14:paraId="131AB2D9" w14:textId="77777777" w:rsidR="00D0239C" w:rsidRDefault="00D0239C">
                        <w:r>
                          <w:rPr>
                            <w:rStyle w:val="Emphasis"/>
                            <w:rFonts w:ascii="Helvetica Neue" w:hAnsi="Helvetica Neue"/>
                            <w:sz w:val="17"/>
                            <w:szCs w:val="17"/>
                          </w:rPr>
                          <w:t xml:space="preserve">This article was selected by Ian Lincoln, President of AIIA NSW since 2017. Ian was in the Department of Foreign Affairs for 33 years including postings in Asia, Africa, </w:t>
                        </w:r>
                        <w:proofErr w:type="gramStart"/>
                        <w:r>
                          <w:rPr>
                            <w:rStyle w:val="Emphasis"/>
                            <w:rFonts w:ascii="Helvetica Neue" w:hAnsi="Helvetica Neue"/>
                            <w:sz w:val="17"/>
                            <w:szCs w:val="17"/>
                          </w:rPr>
                          <w:t>Europe</w:t>
                        </w:r>
                        <w:proofErr w:type="gramEnd"/>
                        <w:r>
                          <w:rPr>
                            <w:rStyle w:val="Emphasis"/>
                            <w:rFonts w:ascii="Helvetica Neue" w:hAnsi="Helvetica Neue"/>
                            <w:sz w:val="17"/>
                            <w:szCs w:val="17"/>
                          </w:rPr>
                          <w:t xml:space="preserve"> and the Pacific. He was later an appellate member of the Refugee Review Tribunal and has worked in </w:t>
                        </w:r>
                        <w:proofErr w:type="gramStart"/>
                        <w:r>
                          <w:rPr>
                            <w:rStyle w:val="Emphasis"/>
                            <w:rFonts w:ascii="Helvetica Neue" w:hAnsi="Helvetica Neue"/>
                            <w:sz w:val="17"/>
                            <w:szCs w:val="17"/>
                          </w:rPr>
                          <w:t>a number of</w:t>
                        </w:r>
                        <w:proofErr w:type="gramEnd"/>
                        <w:r>
                          <w:rPr>
                            <w:rStyle w:val="Emphasis"/>
                            <w:rFonts w:ascii="Helvetica Neue" w:hAnsi="Helvetica Neue"/>
                            <w:sz w:val="17"/>
                            <w:szCs w:val="17"/>
                          </w:rPr>
                          <w:t xml:space="preserve"> community organisations.</w:t>
                        </w:r>
                      </w:p>
                    </w:tc>
                  </w:tr>
                </w:tbl>
                <w:p w14:paraId="3768FD84" w14:textId="77777777" w:rsidR="00D0239C" w:rsidRDefault="00D0239C" w:rsidP="00D0239C">
                  <w:pPr>
                    <w:spacing w:line="360" w:lineRule="atLeast"/>
                    <w:rPr>
                      <w:rFonts w:ascii="Arial" w:hAnsi="Arial" w:cs="Arial"/>
                      <w:color w:val="000000"/>
                    </w:rPr>
                  </w:pPr>
                  <w:r>
                    <w:rPr>
                      <w:rFonts w:ascii="Arial" w:hAnsi="Arial" w:cs="Arial"/>
                      <w:color w:val="000000"/>
                    </w:rPr>
                    <w:t> </w:t>
                  </w:r>
                </w:p>
              </w:tc>
            </w:tr>
          </w:tbl>
          <w:p w14:paraId="1188BFF0" w14:textId="77777777" w:rsidR="00D0239C" w:rsidRDefault="00D0239C">
            <w:pPr>
              <w:rPr>
                <w:rFonts w:ascii="Times" w:hAnsi="Times" w:cs="Times New Roman"/>
                <w:color w:val="000000"/>
                <w:sz w:val="27"/>
                <w:szCs w:val="27"/>
              </w:rPr>
            </w:pPr>
          </w:p>
        </w:tc>
      </w:tr>
    </w:tbl>
    <w:p w14:paraId="70C9F4E8"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5B0B3A0D"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46D5E854" w14:textId="77777777">
              <w:tc>
                <w:tcPr>
                  <w:tcW w:w="0" w:type="auto"/>
                  <w:vAlign w:val="center"/>
                  <w:hideMark/>
                </w:tcPr>
                <w:p w14:paraId="0EC56C3C" w14:textId="77777777" w:rsidR="00D0239C" w:rsidRDefault="00D0239C"/>
              </w:tc>
            </w:tr>
          </w:tbl>
          <w:p w14:paraId="173EB0A4" w14:textId="77777777" w:rsidR="00D0239C" w:rsidRDefault="00D0239C">
            <w:pPr>
              <w:rPr>
                <w:rFonts w:ascii="Times" w:hAnsi="Times"/>
                <w:color w:val="000000"/>
                <w:sz w:val="27"/>
                <w:szCs w:val="27"/>
              </w:rPr>
            </w:pPr>
          </w:p>
        </w:tc>
      </w:tr>
    </w:tbl>
    <w:p w14:paraId="58BEE095"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325B50E6" w14:textId="77777777" w:rsidTr="00D0239C">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0239C" w14:paraId="6CDEC6FB" w14:textId="77777777">
              <w:tc>
                <w:tcPr>
                  <w:tcW w:w="0" w:type="auto"/>
                  <w:tcMar>
                    <w:top w:w="0" w:type="dxa"/>
                    <w:left w:w="135" w:type="dxa"/>
                    <w:bottom w:w="135" w:type="dxa"/>
                    <w:right w:w="135" w:type="dxa"/>
                  </w:tcMar>
                  <w:hideMark/>
                </w:tcPr>
                <w:p w14:paraId="2DBAA87E" w14:textId="51A6582E" w:rsidR="00D0239C" w:rsidRDefault="00D0239C">
                  <w:r>
                    <w:fldChar w:fldCharType="begin"/>
                  </w:r>
                  <w:r>
                    <w:instrText xml:space="preserve"> INCLUDEPICTURE "https://mcusercontent.com/0e9feb1606f1b4129a8b65828/images/bd1c18ee-ada5-c23b-98bc-31d7cbde8c2a.jpg" \* MERGEFORMATINET </w:instrText>
                  </w:r>
                  <w:r>
                    <w:fldChar w:fldCharType="separate"/>
                  </w:r>
                  <w:r>
                    <w:rPr>
                      <w:noProof/>
                    </w:rPr>
                    <w:drawing>
                      <wp:inline distT="0" distB="0" distL="0" distR="0" wp14:anchorId="51CA93F5" wp14:editId="0C3112AE">
                        <wp:extent cx="6475730" cy="4311015"/>
                        <wp:effectExtent l="0" t="0" r="1270" b="0"/>
                        <wp:docPr id="10" name="Picture 10" descr="A couple of people walking on a sidewalk next to a wall with graffiti&#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people walking on a sidewalk next to a wall with graffiti&#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5730" cy="4311015"/>
                                </a:xfrm>
                                <a:prstGeom prst="rect">
                                  <a:avLst/>
                                </a:prstGeom>
                                <a:noFill/>
                                <a:ln>
                                  <a:noFill/>
                                </a:ln>
                              </pic:spPr>
                            </pic:pic>
                          </a:graphicData>
                        </a:graphic>
                      </wp:inline>
                    </w:drawing>
                  </w:r>
                  <w:r>
                    <w:fldChar w:fldCharType="end"/>
                  </w:r>
                </w:p>
              </w:tc>
            </w:tr>
            <w:tr w:rsidR="00D0239C" w14:paraId="3592725F" w14:textId="77777777">
              <w:tc>
                <w:tcPr>
                  <w:tcW w:w="8445" w:type="dxa"/>
                  <w:tcMar>
                    <w:top w:w="0" w:type="dxa"/>
                    <w:left w:w="135" w:type="dxa"/>
                    <w:bottom w:w="0" w:type="dxa"/>
                    <w:right w:w="135" w:type="dxa"/>
                  </w:tcMar>
                  <w:hideMark/>
                </w:tcPr>
                <w:p w14:paraId="398489E3" w14:textId="77777777" w:rsidR="00D0239C" w:rsidRDefault="00D0239C">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4B6AA2"/>
                      <w:sz w:val="30"/>
                      <w:szCs w:val="30"/>
                    </w:rPr>
                    <w:t>Ukraine and the Bomb</w:t>
                  </w:r>
                  <w:r>
                    <w:rPr>
                      <w:rFonts w:ascii="Verdana" w:hAnsi="Verdana"/>
                      <w:color w:val="000000"/>
                    </w:rPr>
                    <w:br/>
                    <w:t> </w:t>
                  </w:r>
                </w:p>
                <w:p w14:paraId="2CAAA94D" w14:textId="77777777" w:rsidR="00D0239C" w:rsidRDefault="00D0239C">
                  <w:pPr>
                    <w:pStyle w:val="NormalWeb"/>
                    <w:spacing w:before="150" w:beforeAutospacing="0" w:after="150" w:afterAutospacing="0" w:line="300" w:lineRule="atLeast"/>
                    <w:jc w:val="both"/>
                    <w:rPr>
                      <w:rFonts w:ascii="Verdana" w:hAnsi="Verdana"/>
                      <w:color w:val="000000"/>
                    </w:rPr>
                  </w:pPr>
                  <w:r>
                    <w:rPr>
                      <w:rFonts w:ascii="Helvetica Neue" w:hAnsi="Helvetica Neue"/>
                      <w:color w:val="000000"/>
                      <w:sz w:val="18"/>
                      <w:szCs w:val="18"/>
                    </w:rPr>
                    <w:t xml:space="preserve">Before gaining its independence in 1991 Ukraine was part of the Soviet Union and was host to elements of Moscow’s strategic nuclear strike. It is estimated that the weapons then located on Ukrainian territory amounted to the world’s third largest nuclear </w:t>
                  </w:r>
                  <w:proofErr w:type="spellStart"/>
                  <w:r>
                    <w:rPr>
                      <w:rFonts w:ascii="Helvetica Neue" w:hAnsi="Helvetica Neue"/>
                      <w:color w:val="000000"/>
                      <w:sz w:val="18"/>
                      <w:szCs w:val="18"/>
                    </w:rPr>
                    <w:t>armory</w:t>
                  </w:r>
                  <w:proofErr w:type="spellEnd"/>
                  <w:r>
                    <w:rPr>
                      <w:rFonts w:ascii="Helvetica Neue" w:hAnsi="Helvetica Neue"/>
                      <w:color w:val="000000"/>
                      <w:sz w:val="18"/>
                      <w:szCs w:val="18"/>
                    </w:rPr>
                    <w:t>. What if Kiev had been able to keep these weapons? </w:t>
                  </w:r>
                  <w:hyperlink r:id="rId21" w:history="1">
                    <w:r>
                      <w:rPr>
                        <w:rStyle w:val="Hyperlink"/>
                        <w:rFonts w:ascii="Helvetica Neue" w:hAnsi="Helvetica Neue"/>
                        <w:b/>
                        <w:bCs/>
                        <w:color w:val="4C6AA2"/>
                        <w:sz w:val="18"/>
                        <w:szCs w:val="18"/>
                      </w:rPr>
                      <w:t>John Mearsheimer</w:t>
                    </w:r>
                  </w:hyperlink>
                  <w:r>
                    <w:rPr>
                      <w:rFonts w:ascii="Helvetica Neue" w:hAnsi="Helvetica Neue"/>
                      <w:color w:val="000000"/>
                      <w:sz w:val="18"/>
                      <w:szCs w:val="18"/>
                    </w:rPr>
                    <w:t xml:space="preserve">, a prominent US authority on international security, argued in 1993 that it should. In the wake of the current war in Ukraine, Mearsheimer argues that If Ukraine had nuclear weapons Russia would have been deterred from invading. Australian scholar Maria </w:t>
                  </w:r>
                  <w:proofErr w:type="spellStart"/>
                  <w:r>
                    <w:rPr>
                      <w:rFonts w:ascii="Helvetica Neue" w:hAnsi="Helvetica Neue"/>
                      <w:color w:val="000000"/>
                      <w:sz w:val="18"/>
                      <w:szCs w:val="18"/>
                    </w:rPr>
                    <w:t>Rublee</w:t>
                  </w:r>
                  <w:proofErr w:type="spellEnd"/>
                  <w:r>
                    <w:rPr>
                      <w:rFonts w:ascii="Helvetica Neue" w:hAnsi="Helvetica Neue"/>
                      <w:color w:val="000000"/>
                      <w:sz w:val="18"/>
                      <w:szCs w:val="18"/>
                    </w:rPr>
                    <w:t xml:space="preserve"> has labelled this speculation as a </w:t>
                  </w:r>
                  <w:hyperlink r:id="rId22" w:history="1">
                    <w:r>
                      <w:rPr>
                        <w:rStyle w:val="Hyperlink"/>
                        <w:rFonts w:ascii="Helvetica Neue" w:hAnsi="Helvetica Neue"/>
                        <w:b/>
                        <w:bCs/>
                        <w:color w:val="4C6AA2"/>
                        <w:sz w:val="18"/>
                        <w:szCs w:val="18"/>
                      </w:rPr>
                      <w:t>fantasy</w:t>
                    </w:r>
                  </w:hyperlink>
                  <w:r>
                    <w:rPr>
                      <w:rFonts w:ascii="Helvetica Neue" w:hAnsi="Helvetica Neue"/>
                      <w:color w:val="000000"/>
                      <w:sz w:val="18"/>
                      <w:szCs w:val="18"/>
                    </w:rPr>
                    <w:t>; the nuclear weapons in newly-independent Ukraine were not Kiev’s to keep and Moscow would never have left them there. Their repatriation to Russia was strongly encouraged by the United States among others. A home-grown nuclear weapons program in Ukraine was never really on the table: Kiev had too few resources and too many competing priorities </w:t>
                  </w:r>
                  <w:r>
                    <w:rPr>
                      <w:rFonts w:ascii="Verdana" w:hAnsi="Verdana"/>
                      <w:color w:val="000000"/>
                      <w:sz w:val="18"/>
                      <w:szCs w:val="18"/>
                    </w:rPr>
                    <w:br/>
                  </w:r>
                  <w:r>
                    <w:rPr>
                      <w:rFonts w:ascii="Verdana" w:hAnsi="Verdana"/>
                      <w:color w:val="000000"/>
                      <w:sz w:val="18"/>
                      <w:szCs w:val="18"/>
                    </w:rPr>
                    <w:br/>
                  </w:r>
                  <w:r>
                    <w:rPr>
                      <w:rFonts w:ascii="Helvetica Neue" w:hAnsi="Helvetica Neue"/>
                      <w:color w:val="000000"/>
                      <w:sz w:val="18"/>
                      <w:szCs w:val="18"/>
                    </w:rPr>
                    <w:lastRenderedPageBreak/>
                    <w:t xml:space="preserve">But states around the world might read the situation differently. States more able to build nuclear weapons than Ukraine, and which depend on alliance guarantees for protection – examples in our region are Japan, South </w:t>
                  </w:r>
                  <w:proofErr w:type="gramStart"/>
                  <w:r>
                    <w:rPr>
                      <w:rFonts w:ascii="Helvetica Neue" w:hAnsi="Helvetica Neue"/>
                      <w:color w:val="000000"/>
                      <w:sz w:val="18"/>
                      <w:szCs w:val="18"/>
                    </w:rPr>
                    <w:t>Korea</w:t>
                  </w:r>
                  <w:proofErr w:type="gramEnd"/>
                  <w:r>
                    <w:rPr>
                      <w:rFonts w:ascii="Helvetica Neue" w:hAnsi="Helvetica Neue"/>
                      <w:color w:val="000000"/>
                      <w:sz w:val="18"/>
                      <w:szCs w:val="18"/>
                    </w:rPr>
                    <w:t xml:space="preserve"> and Taiwan – might take away the message that, in certain circumstances, those you depend on can be deterred from extending support. Despite generous NATO assistance for Ukraine and regardless of appeals from Kiev, the Western allies have made it clear that they will not push involvement to a level that risks war with Russia. </w:t>
                  </w:r>
                  <w:proofErr w:type="gramStart"/>
                  <w:r>
                    <w:rPr>
                      <w:rFonts w:ascii="Helvetica Neue" w:hAnsi="Helvetica Neue"/>
                      <w:color w:val="000000"/>
                      <w:sz w:val="18"/>
                      <w:szCs w:val="18"/>
                    </w:rPr>
                    <w:t>So</w:t>
                  </w:r>
                  <w:proofErr w:type="gramEnd"/>
                  <w:r>
                    <w:rPr>
                      <w:rFonts w:ascii="Helvetica Neue" w:hAnsi="Helvetica Neue"/>
                      <w:color w:val="000000"/>
                      <w:sz w:val="18"/>
                      <w:szCs w:val="18"/>
                    </w:rPr>
                    <w:t xml:space="preserve"> no boots on the ground or planes in the air – things that many commentators think would make a real difference in resisting Russian aggression. NATO is not obligated to support Ukraine because the latter is not part of the </w:t>
                  </w:r>
                  <w:proofErr w:type="gramStart"/>
                  <w:r>
                    <w:rPr>
                      <w:rFonts w:ascii="Helvetica Neue" w:hAnsi="Helvetica Neue"/>
                      <w:color w:val="000000"/>
                      <w:sz w:val="18"/>
                      <w:szCs w:val="18"/>
                    </w:rPr>
                    <w:t>Alliance, but</w:t>
                  </w:r>
                  <w:proofErr w:type="gramEnd"/>
                  <w:r>
                    <w:rPr>
                      <w:rFonts w:ascii="Helvetica Neue" w:hAnsi="Helvetica Neue"/>
                      <w:color w:val="000000"/>
                      <w:sz w:val="18"/>
                      <w:szCs w:val="18"/>
                    </w:rPr>
                    <w:t xml:space="preserve"> has deemed that it is in its interests to do so. Its caution about pushing involvement too far is prompted by the understandable fear of nuclear war, which has influenced Western responses to aggression as far back as Hungary in 1956 and Czechoslovakia in 1968. </w:t>
                  </w:r>
                  <w:r>
                    <w:rPr>
                      <w:rFonts w:ascii="Helvetica Neue" w:hAnsi="Helvetica Neue"/>
                      <w:color w:val="000000"/>
                      <w:sz w:val="18"/>
                      <w:szCs w:val="18"/>
                    </w:rPr>
                    <w:br/>
                  </w:r>
                  <w:r>
                    <w:rPr>
                      <w:rFonts w:ascii="Helvetica Neue" w:hAnsi="Helvetica Neue"/>
                      <w:color w:val="000000"/>
                      <w:sz w:val="18"/>
                      <w:szCs w:val="18"/>
                    </w:rPr>
                    <w:br/>
                    <w:t xml:space="preserve">So, what might a state in Ukraine’s situation do? It might be tempted to develop nuclear weapons of its own – a deterrent that it alone can brandish. And there would be nothing new about this reasoning, which has featured in the thinking of </w:t>
                  </w:r>
                  <w:proofErr w:type="gramStart"/>
                  <w:r>
                    <w:rPr>
                      <w:rFonts w:ascii="Helvetica Neue" w:hAnsi="Helvetica Neue"/>
                      <w:color w:val="000000"/>
                      <w:sz w:val="18"/>
                      <w:szCs w:val="18"/>
                    </w:rPr>
                    <w:t>all of</w:t>
                  </w:r>
                  <w:proofErr w:type="gramEnd"/>
                  <w:r>
                    <w:rPr>
                      <w:rFonts w:ascii="Helvetica Neue" w:hAnsi="Helvetica Neue"/>
                      <w:color w:val="000000"/>
                      <w:sz w:val="18"/>
                      <w:szCs w:val="18"/>
                    </w:rPr>
                    <w:t xml:space="preserve"> the world’s existing nuclear powers. But this is a frightening prospect and one that would undermine the relatively successful global structure of nuclear </w:t>
                  </w:r>
                  <w:proofErr w:type="spellStart"/>
                  <w:r>
                    <w:rPr>
                      <w:rFonts w:ascii="Helvetica Neue" w:hAnsi="Helvetica Neue"/>
                      <w:color w:val="000000"/>
                      <w:sz w:val="18"/>
                      <w:szCs w:val="18"/>
                    </w:rPr>
                    <w:t>nonproliferation</w:t>
                  </w:r>
                  <w:proofErr w:type="spellEnd"/>
                  <w:r>
                    <w:rPr>
                      <w:rFonts w:ascii="Helvetica Neue" w:hAnsi="Helvetica Neue"/>
                      <w:color w:val="000000"/>
                      <w:sz w:val="18"/>
                      <w:szCs w:val="18"/>
                    </w:rPr>
                    <w:t>.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23" w:tgtFrame="_blank" w:history="1">
                    <w:r>
                      <w:rPr>
                        <w:rStyle w:val="Hyperlink"/>
                        <w:rFonts w:ascii="Helvetica Neue" w:hAnsi="Helvetica Neue"/>
                        <w:b/>
                        <w:bCs/>
                        <w:color w:val="4C6AA2"/>
                        <w:sz w:val="17"/>
                        <w:szCs w:val="17"/>
                      </w:rPr>
                      <w:t>Duncan C</w:t>
                    </w:r>
                  </w:hyperlink>
                </w:p>
                <w:p w14:paraId="2A2DAEAA" w14:textId="77777777" w:rsidR="00D0239C" w:rsidRDefault="00D0239C">
                  <w:pPr>
                    <w:spacing w:line="300" w:lineRule="atLeast"/>
                    <w:jc w:val="both"/>
                    <w:rPr>
                      <w:rFonts w:ascii="Verdana" w:hAnsi="Verdana"/>
                      <w:color w:val="000000"/>
                    </w:rPr>
                  </w:pPr>
                  <w:r>
                    <w:rPr>
                      <w:rFonts w:ascii="Verdana" w:hAnsi="Verdana"/>
                      <w:color w:val="000000"/>
                    </w:rPr>
                    <w:t> </w:t>
                  </w:r>
                </w:p>
              </w:tc>
            </w:tr>
          </w:tbl>
          <w:p w14:paraId="4E3A6C58" w14:textId="77777777" w:rsidR="00D0239C" w:rsidRDefault="00D0239C">
            <w:pPr>
              <w:rPr>
                <w:rFonts w:ascii="Times" w:hAnsi="Times"/>
                <w:color w:val="000000"/>
                <w:sz w:val="27"/>
                <w:szCs w:val="27"/>
              </w:rPr>
            </w:pPr>
          </w:p>
        </w:tc>
      </w:tr>
    </w:tbl>
    <w:p w14:paraId="743B54BA"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4E36B1AF"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463AAEBA" w14:textId="77777777">
              <w:tc>
                <w:tcPr>
                  <w:tcW w:w="0" w:type="auto"/>
                  <w:vAlign w:val="center"/>
                  <w:hideMark/>
                </w:tcPr>
                <w:p w14:paraId="232E6739" w14:textId="77777777" w:rsidR="00D0239C" w:rsidRDefault="00D0239C"/>
              </w:tc>
            </w:tr>
          </w:tbl>
          <w:p w14:paraId="544DF82D" w14:textId="77777777" w:rsidR="00D0239C" w:rsidRDefault="00D0239C">
            <w:pPr>
              <w:rPr>
                <w:rFonts w:ascii="Times" w:hAnsi="Times"/>
                <w:color w:val="000000"/>
                <w:sz w:val="27"/>
                <w:szCs w:val="27"/>
              </w:rPr>
            </w:pPr>
          </w:p>
        </w:tc>
      </w:tr>
    </w:tbl>
    <w:p w14:paraId="234B7086"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07FD8B93"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506A7098" w14:textId="77777777">
              <w:tc>
                <w:tcPr>
                  <w:tcW w:w="0" w:type="auto"/>
                  <w:tcMar>
                    <w:top w:w="0" w:type="dxa"/>
                    <w:left w:w="270" w:type="dxa"/>
                    <w:bottom w:w="135" w:type="dxa"/>
                    <w:right w:w="270" w:type="dxa"/>
                  </w:tcMar>
                  <w:hideMark/>
                </w:tcPr>
                <w:p w14:paraId="20289860" w14:textId="77777777" w:rsidR="00D0239C" w:rsidRDefault="00D0239C">
                  <w:pPr>
                    <w:spacing w:line="360" w:lineRule="atLeast"/>
                    <w:rPr>
                      <w:rFonts w:ascii="Verdana" w:hAnsi="Verdana"/>
                      <w:color w:val="4C6AA2"/>
                    </w:rPr>
                  </w:pPr>
                  <w:r>
                    <w:rPr>
                      <w:rFonts w:ascii="Helvetica Neue" w:hAnsi="Helvetica Neue"/>
                      <w:color w:val="000000"/>
                      <w:sz w:val="17"/>
                      <w:szCs w:val="17"/>
                    </w:rPr>
                    <w:t xml:space="preserve">These articles were selected by Dr Bob Howard. Bob </w:t>
                  </w:r>
                  <w:proofErr w:type="gramStart"/>
                  <w:r>
                    <w:rPr>
                      <w:rFonts w:ascii="Helvetica Neue" w:hAnsi="Helvetica Neue"/>
                      <w:color w:val="000000"/>
                      <w:sz w:val="17"/>
                      <w:szCs w:val="17"/>
                    </w:rPr>
                    <w:t>researches</w:t>
                  </w:r>
                  <w:proofErr w:type="gramEnd"/>
                  <w:r>
                    <w:rPr>
                      <w:rFonts w:ascii="Helvetica Neue" w:hAnsi="Helvetica Neue"/>
                      <w:color w:val="000000"/>
                      <w:sz w:val="17"/>
                      <w:szCs w:val="17"/>
                    </w:rPr>
                    <w:t xml:space="preserve"> aspects of the history of international relations in the twentieth century, with special reference to developments in international security. He is an honorary associate and former lecturer in the Department of Government and International Relations at the University of Sydney and has written extensively on international relations, international </w:t>
                  </w:r>
                  <w:proofErr w:type="gramStart"/>
                  <w:r>
                    <w:rPr>
                      <w:rFonts w:ascii="Helvetica Neue" w:hAnsi="Helvetica Neue"/>
                      <w:color w:val="000000"/>
                      <w:sz w:val="17"/>
                      <w:szCs w:val="17"/>
                    </w:rPr>
                    <w:t>security</w:t>
                  </w:r>
                  <w:proofErr w:type="gramEnd"/>
                  <w:r>
                    <w:rPr>
                      <w:rFonts w:ascii="Helvetica Neue" w:hAnsi="Helvetica Neue"/>
                      <w:color w:val="000000"/>
                      <w:sz w:val="17"/>
                      <w:szCs w:val="17"/>
                    </w:rPr>
                    <w:t xml:space="preserve"> and Australian politics.</w:t>
                  </w:r>
                </w:p>
              </w:tc>
            </w:tr>
          </w:tbl>
          <w:p w14:paraId="1E6E4945" w14:textId="77777777" w:rsidR="00D0239C" w:rsidRDefault="00D0239C">
            <w:pPr>
              <w:rPr>
                <w:rFonts w:ascii="Times" w:hAnsi="Times"/>
                <w:color w:val="000000"/>
                <w:sz w:val="27"/>
                <w:szCs w:val="27"/>
              </w:rPr>
            </w:pPr>
          </w:p>
        </w:tc>
      </w:tr>
    </w:tbl>
    <w:p w14:paraId="24E04006"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56D212A5" w14:textId="77777777" w:rsidTr="00D0239C">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0239C" w14:paraId="3B0A0692" w14:textId="77777777">
              <w:tc>
                <w:tcPr>
                  <w:tcW w:w="0" w:type="auto"/>
                  <w:vAlign w:val="center"/>
                  <w:hideMark/>
                </w:tcPr>
                <w:p w14:paraId="4A04F3CE" w14:textId="77777777" w:rsidR="00D0239C" w:rsidRDefault="00D0239C"/>
              </w:tc>
            </w:tr>
          </w:tbl>
          <w:p w14:paraId="0AAAD5A0" w14:textId="77777777" w:rsidR="00D0239C" w:rsidRDefault="00D0239C">
            <w:pPr>
              <w:rPr>
                <w:rFonts w:ascii="Times" w:hAnsi="Times"/>
                <w:color w:val="000000"/>
                <w:sz w:val="27"/>
                <w:szCs w:val="27"/>
              </w:rPr>
            </w:pPr>
          </w:p>
        </w:tc>
      </w:tr>
    </w:tbl>
    <w:p w14:paraId="542234A2"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17FB5FE4" w14:textId="77777777" w:rsidTr="00D0239C">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4CCAAE8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0239C" w14:paraId="16B6BF8F" w14:textId="77777777">
                    <w:tc>
                      <w:tcPr>
                        <w:tcW w:w="0" w:type="auto"/>
                        <w:shd w:val="clear" w:color="auto" w:fill="4B6AA2"/>
                        <w:tcMar>
                          <w:top w:w="270" w:type="dxa"/>
                          <w:left w:w="270" w:type="dxa"/>
                          <w:bottom w:w="270" w:type="dxa"/>
                          <w:right w:w="270" w:type="dxa"/>
                        </w:tcMar>
                        <w:hideMark/>
                      </w:tcPr>
                      <w:p w14:paraId="3F4A0BE2" w14:textId="77777777" w:rsidR="00D0239C" w:rsidRDefault="00D0239C">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7BDF9E59" w14:textId="77777777" w:rsidR="00D0239C" w:rsidRDefault="00D0239C">
                  <w:pPr>
                    <w:rPr>
                      <w:rFonts w:ascii="Times New Roman" w:hAnsi="Times New Roman"/>
                    </w:rPr>
                  </w:pPr>
                </w:p>
              </w:tc>
            </w:tr>
          </w:tbl>
          <w:p w14:paraId="16961DA1" w14:textId="77777777" w:rsidR="00D0239C" w:rsidRDefault="00D0239C">
            <w:pPr>
              <w:rPr>
                <w:rFonts w:ascii="Times" w:hAnsi="Times"/>
                <w:color w:val="000000"/>
                <w:sz w:val="27"/>
                <w:szCs w:val="27"/>
              </w:rPr>
            </w:pPr>
          </w:p>
        </w:tc>
      </w:tr>
    </w:tbl>
    <w:p w14:paraId="219A5C5C"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17CC9B07"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62EC3C55" w14:textId="77777777">
              <w:tc>
                <w:tcPr>
                  <w:tcW w:w="0" w:type="auto"/>
                  <w:tcMar>
                    <w:top w:w="0" w:type="dxa"/>
                    <w:left w:w="270" w:type="dxa"/>
                    <w:bottom w:w="135" w:type="dxa"/>
                    <w:right w:w="270" w:type="dxa"/>
                  </w:tcMar>
                  <w:hideMark/>
                </w:tcPr>
                <w:p w14:paraId="39D6078B" w14:textId="77777777" w:rsidR="00D0239C" w:rsidRDefault="00D0239C">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new interns Jacqueline </w:t>
                  </w:r>
                  <w:proofErr w:type="spellStart"/>
                  <w:r>
                    <w:rPr>
                      <w:rFonts w:ascii="Helvetica Neue" w:hAnsi="Helvetica Neue"/>
                      <w:color w:val="222222"/>
                      <w:sz w:val="18"/>
                      <w:szCs w:val="18"/>
                    </w:rPr>
                    <w:t>Michalopoulos</w:t>
                  </w:r>
                  <w:proofErr w:type="spellEnd"/>
                  <w:r>
                    <w:rPr>
                      <w:rFonts w:ascii="Helvetica Neue" w:hAnsi="Helvetica Neue"/>
                      <w:color w:val="222222"/>
                      <w:sz w:val="18"/>
                      <w:szCs w:val="18"/>
                    </w:rPr>
                    <w:t xml:space="preserve"> and Drew </w:t>
                  </w:r>
                  <w:proofErr w:type="spellStart"/>
                  <w:r>
                    <w:rPr>
                      <w:rFonts w:ascii="Helvetica Neue" w:hAnsi="Helvetica Neue"/>
                      <w:color w:val="222222"/>
                      <w:sz w:val="18"/>
                      <w:szCs w:val="18"/>
                    </w:rPr>
                    <w:t>Beacom</w:t>
                  </w:r>
                  <w:proofErr w:type="spellEnd"/>
                  <w:r>
                    <w:rPr>
                      <w:rFonts w:ascii="Helvetica Neue" w:hAnsi="Helvetica Neue"/>
                      <w:color w:val="222222"/>
                      <w:sz w:val="18"/>
                      <w:szCs w:val="18"/>
                    </w:rPr>
                    <w:t xml:space="preserve"> explore the roots of pro-Russian sentiment in Indonesia, and the role of Transnistria in the Russia-Ukraine conflict.</w:t>
                  </w:r>
                  <w:r>
                    <w:rPr>
                      <w:rFonts w:ascii="Helvetica Neue" w:hAnsi="Helvetica Neue"/>
                      <w:color w:val="222222"/>
                      <w:sz w:val="18"/>
                      <w:szCs w:val="18"/>
                    </w:rPr>
                    <w:br/>
                  </w:r>
                  <w:r>
                    <w:rPr>
                      <w:rFonts w:ascii="Helvetica Neue" w:hAnsi="Helvetica Neue"/>
                      <w:color w:val="222222"/>
                      <w:sz w:val="18"/>
                      <w:szCs w:val="18"/>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1BD364BE" w14:textId="77777777" w:rsidR="00D0239C" w:rsidRDefault="00D0239C">
            <w:pPr>
              <w:rPr>
                <w:rFonts w:ascii="Times" w:hAnsi="Times"/>
                <w:color w:val="000000"/>
                <w:sz w:val="27"/>
                <w:szCs w:val="27"/>
              </w:rPr>
            </w:pPr>
          </w:p>
        </w:tc>
      </w:tr>
    </w:tbl>
    <w:p w14:paraId="1F641265"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08757063"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0A96A5E2" w14:textId="77777777">
              <w:tc>
                <w:tcPr>
                  <w:tcW w:w="0" w:type="auto"/>
                  <w:vAlign w:val="center"/>
                  <w:hideMark/>
                </w:tcPr>
                <w:p w14:paraId="5D225EAB" w14:textId="77777777" w:rsidR="00D0239C" w:rsidRDefault="00D0239C"/>
              </w:tc>
            </w:tr>
          </w:tbl>
          <w:p w14:paraId="506687D2" w14:textId="77777777" w:rsidR="00D0239C" w:rsidRDefault="00D0239C">
            <w:pPr>
              <w:rPr>
                <w:rFonts w:ascii="Times" w:hAnsi="Times"/>
                <w:color w:val="000000"/>
                <w:sz w:val="27"/>
                <w:szCs w:val="27"/>
              </w:rPr>
            </w:pPr>
          </w:p>
        </w:tc>
      </w:tr>
    </w:tbl>
    <w:p w14:paraId="1C654B6D"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7468CAF9" w14:textId="77777777" w:rsidTr="00D0239C">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0239C" w14:paraId="4F09595B" w14:textId="77777777">
              <w:tc>
                <w:tcPr>
                  <w:tcW w:w="0" w:type="auto"/>
                  <w:tcMar>
                    <w:top w:w="0" w:type="dxa"/>
                    <w:left w:w="135" w:type="dxa"/>
                    <w:bottom w:w="135" w:type="dxa"/>
                    <w:right w:w="135" w:type="dxa"/>
                  </w:tcMar>
                  <w:hideMark/>
                </w:tcPr>
                <w:p w14:paraId="750B56AE" w14:textId="25D35301" w:rsidR="00D0239C" w:rsidRDefault="00D0239C">
                  <w:pPr>
                    <w:jc w:val="right"/>
                  </w:pPr>
                  <w:r>
                    <w:lastRenderedPageBreak/>
                    <w:fldChar w:fldCharType="begin"/>
                  </w:r>
                  <w:r>
                    <w:instrText xml:space="preserve"> INCLUDEPICTURE "https://mcusercontent.com/0e9feb1606f1b4129a8b65828/images/7326dcbb-409b-c29a-b0af-e0eb519c854e.jpg" \* MERGEFORMATINET </w:instrText>
                  </w:r>
                  <w:r>
                    <w:fldChar w:fldCharType="separate"/>
                  </w:r>
                  <w:r>
                    <w:rPr>
                      <w:noProof/>
                    </w:rPr>
                    <w:drawing>
                      <wp:inline distT="0" distB="0" distL="0" distR="0" wp14:anchorId="639B01BB" wp14:editId="3CF1DDB6">
                        <wp:extent cx="6475730" cy="4323080"/>
                        <wp:effectExtent l="0" t="0" r="127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5730" cy="4323080"/>
                                </a:xfrm>
                                <a:prstGeom prst="rect">
                                  <a:avLst/>
                                </a:prstGeom>
                                <a:noFill/>
                                <a:ln>
                                  <a:noFill/>
                                </a:ln>
                              </pic:spPr>
                            </pic:pic>
                          </a:graphicData>
                        </a:graphic>
                      </wp:inline>
                    </w:drawing>
                  </w:r>
                  <w:r>
                    <w:fldChar w:fldCharType="end"/>
                  </w:r>
                </w:p>
              </w:tc>
            </w:tr>
            <w:tr w:rsidR="00D0239C" w14:paraId="21CAB797" w14:textId="77777777">
              <w:tc>
                <w:tcPr>
                  <w:tcW w:w="8460" w:type="dxa"/>
                  <w:tcMar>
                    <w:top w:w="0" w:type="dxa"/>
                    <w:left w:w="135" w:type="dxa"/>
                    <w:bottom w:w="0" w:type="dxa"/>
                    <w:right w:w="135" w:type="dxa"/>
                  </w:tcMar>
                  <w:hideMark/>
                </w:tcPr>
                <w:p w14:paraId="34B5D38C" w14:textId="77777777" w:rsidR="00D0239C" w:rsidRDefault="00D0239C">
                  <w:pPr>
                    <w:pStyle w:val="Heading1"/>
                    <w:spacing w:before="0" w:beforeAutospacing="0" w:after="0" w:afterAutospacing="0" w:line="488" w:lineRule="atLeast"/>
                    <w:rPr>
                      <w:rFonts w:ascii="Arial" w:hAnsi="Arial" w:cs="Arial"/>
                      <w:color w:val="4C6AA2"/>
                      <w:spacing w:val="-15"/>
                      <w:sz w:val="39"/>
                      <w:szCs w:val="39"/>
                    </w:rPr>
                  </w:pPr>
                  <w:hyperlink r:id="rId25" w:tgtFrame="_blank" w:tooltip="Pro-Russian Sentiment in Indonesia: An Impact of Lacking Russian and Eastern European Studies Scholarship" w:history="1">
                    <w:r>
                      <w:rPr>
                        <w:rStyle w:val="Hyperlink"/>
                        <w:rFonts w:ascii="Helvetica Neue" w:hAnsi="Helvetica Neue" w:cs="Arial"/>
                        <w:color w:val="4C6AA2"/>
                        <w:spacing w:val="-15"/>
                        <w:sz w:val="30"/>
                        <w:szCs w:val="30"/>
                      </w:rPr>
                      <w:t>Pro-Russian Sentiment in Indonesia: An Impact of Lacking Russian and Eastern European Studies Scholarship</w:t>
                    </w:r>
                  </w:hyperlink>
                </w:p>
                <w:p w14:paraId="3E817362" w14:textId="2AB61C25" w:rsidR="00D0239C" w:rsidRDefault="00D0239C">
                  <w:pPr>
                    <w:pStyle w:val="NormalWeb"/>
                    <w:spacing w:before="150" w:beforeAutospacing="0" w:after="150" w:afterAutospacing="0" w:line="300" w:lineRule="atLeast"/>
                    <w:jc w:val="both"/>
                    <w:rPr>
                      <w:rFonts w:ascii="Verdana" w:hAnsi="Verdana"/>
                      <w:color w:val="222222"/>
                    </w:rPr>
                  </w:pPr>
                  <w:r>
                    <w:rPr>
                      <w:rFonts w:ascii="Helvetica Neue" w:hAnsi="Helvetica Neue"/>
                      <w:color w:val="222222"/>
                      <w:sz w:val="18"/>
                      <w:szCs w:val="18"/>
                    </w:rPr>
                    <w:t>In </w:t>
                  </w:r>
                  <w:hyperlink r:id="rId26" w:tgtFrame="_blank" w:history="1">
                    <w:r>
                      <w:rPr>
                        <w:rStyle w:val="Hyperlink"/>
                        <w:rFonts w:ascii="Helvetica Neue" w:hAnsi="Helvetica Neue"/>
                        <w:b/>
                        <w:bCs/>
                        <w:color w:val="4C6AA2"/>
                        <w:sz w:val="18"/>
                        <w:szCs w:val="18"/>
                      </w:rPr>
                      <w:t>The Conversation</w:t>
                    </w:r>
                  </w:hyperlink>
                  <w:r>
                    <w:rPr>
                      <w:rFonts w:ascii="Helvetica Neue" w:hAnsi="Helvetica Neue"/>
                      <w:color w:val="222222"/>
                      <w:sz w:val="18"/>
                      <w:szCs w:val="18"/>
                    </w:rPr>
                    <w:t xml:space="preserve">, </w:t>
                  </w:r>
                  <w:proofErr w:type="spellStart"/>
                  <w:r>
                    <w:rPr>
                      <w:rFonts w:ascii="Helvetica Neue" w:hAnsi="Helvetica Neue"/>
                      <w:color w:val="222222"/>
                      <w:sz w:val="18"/>
                      <w:szCs w:val="18"/>
                    </w:rPr>
                    <w:t>Radityo</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Dharmaputra</w:t>
                  </w:r>
                  <w:proofErr w:type="spellEnd"/>
                  <w:r>
                    <w:rPr>
                      <w:rFonts w:ascii="Helvetica Neue" w:hAnsi="Helvetica Neue"/>
                      <w:color w:val="222222"/>
                      <w:sz w:val="18"/>
                      <w:szCs w:val="18"/>
                    </w:rPr>
                    <w:t xml:space="preserve">, lecturer in Russian and Eastern European Studies at the Universitas </w:t>
                  </w:r>
                  <w:proofErr w:type="spellStart"/>
                  <w:r>
                    <w:rPr>
                      <w:rFonts w:ascii="Helvetica Neue" w:hAnsi="Helvetica Neue"/>
                      <w:color w:val="222222"/>
                      <w:sz w:val="18"/>
                      <w:szCs w:val="18"/>
                    </w:rPr>
                    <w:t>Airlangga</w:t>
                  </w:r>
                  <w:proofErr w:type="spellEnd"/>
                  <w:r>
                    <w:rPr>
                      <w:rFonts w:ascii="Helvetica Neue" w:hAnsi="Helvetica Neue"/>
                      <w:color w:val="222222"/>
                      <w:sz w:val="18"/>
                      <w:szCs w:val="18"/>
                    </w:rPr>
                    <w:t xml:space="preserve">, postulates that the publications of Indonesian international relations scholars have driven pro-Russian feeling in the state. Reflecting on the findings of the Lowy Institute’s 2021 survey, </w:t>
                  </w:r>
                  <w:proofErr w:type="spellStart"/>
                  <w:r>
                    <w:rPr>
                      <w:rFonts w:ascii="Helvetica Neue" w:hAnsi="Helvetica Neue"/>
                      <w:color w:val="222222"/>
                      <w:sz w:val="18"/>
                      <w:szCs w:val="18"/>
                    </w:rPr>
                    <w:t>Dharmaputra</w:t>
                  </w:r>
                  <w:proofErr w:type="spellEnd"/>
                  <w:r>
                    <w:rPr>
                      <w:rFonts w:ascii="Helvetica Neue" w:hAnsi="Helvetica Neue"/>
                      <w:color w:val="222222"/>
                      <w:sz w:val="18"/>
                      <w:szCs w:val="18"/>
                    </w:rPr>
                    <w:t xml:space="preserve"> analyses the impact of greater trust in government information than media publications among Indonesians. Through identifying the prevalence of pro-Russian sentiments in both public discussion (including the discussions occurring in the Indonesian social media sphere), and Indonesia’s current policy position, </w:t>
                  </w:r>
                  <w:proofErr w:type="spellStart"/>
                  <w:r>
                    <w:rPr>
                      <w:rFonts w:ascii="Helvetica Neue" w:hAnsi="Helvetica Neue"/>
                      <w:color w:val="222222"/>
                      <w:sz w:val="18"/>
                      <w:szCs w:val="18"/>
                    </w:rPr>
                    <w:t>Dharmaputra</w:t>
                  </w:r>
                  <w:proofErr w:type="spellEnd"/>
                  <w:r>
                    <w:rPr>
                      <w:rFonts w:ascii="Helvetica Neue" w:hAnsi="Helvetica Neue"/>
                      <w:color w:val="222222"/>
                      <w:sz w:val="18"/>
                      <w:szCs w:val="18"/>
                    </w:rPr>
                    <w:t xml:space="preserve"> explicates the dominant realist discourse that has precipitated ill-advised policy proposals on the world stage. Moreover, through considering the absence of Russian and Eastern European studies scholars in Indonesia, </w:t>
                  </w:r>
                  <w:proofErr w:type="spellStart"/>
                  <w:r>
                    <w:rPr>
                      <w:rFonts w:ascii="Helvetica Neue" w:hAnsi="Helvetica Neue"/>
                      <w:color w:val="222222"/>
                      <w:sz w:val="18"/>
                      <w:szCs w:val="18"/>
                    </w:rPr>
                    <w:t>Dharmaputra</w:t>
                  </w:r>
                  <w:proofErr w:type="spellEnd"/>
                  <w:r>
                    <w:rPr>
                      <w:rFonts w:ascii="Helvetica Neue" w:hAnsi="Helvetica Neue"/>
                      <w:color w:val="222222"/>
                      <w:sz w:val="18"/>
                      <w:szCs w:val="18"/>
                    </w:rPr>
                    <w:t xml:space="preserve"> expounds the profound impact of Russian disinformation campaigns that label the invasion a ‘denazification’ operation. The neglect of Ukrainian victims</w:t>
                  </w:r>
                  <w:r>
                    <w:rPr>
                      <w:rFonts w:ascii="Helvetica Neue" w:hAnsi="Helvetica Neue"/>
                      <w:color w:val="222222"/>
                      <w:sz w:val="18"/>
                      <w:szCs w:val="18"/>
                    </w:rPr>
                    <w:t xml:space="preserve">’ </w:t>
                  </w:r>
                  <w:r>
                    <w:rPr>
                      <w:rFonts w:ascii="Helvetica Neue" w:hAnsi="Helvetica Neue"/>
                      <w:color w:val="222222"/>
                      <w:sz w:val="18"/>
                      <w:szCs w:val="18"/>
                    </w:rPr>
                    <w:t xml:space="preserve">perspectives of the conflict reveal Indonesia’s difficulty empathising with a smaller nation-state fearing the imperial ambitions of larger neighbouring states, according to </w:t>
                  </w:r>
                  <w:proofErr w:type="spellStart"/>
                  <w:r>
                    <w:rPr>
                      <w:rFonts w:ascii="Helvetica Neue" w:hAnsi="Helvetica Neue"/>
                      <w:color w:val="222222"/>
                      <w:sz w:val="18"/>
                      <w:szCs w:val="18"/>
                    </w:rPr>
                    <w:t>Dharmaputra</w:t>
                  </w:r>
                  <w:proofErr w:type="spellEnd"/>
                  <w:r>
                    <w:rPr>
                      <w:rFonts w:ascii="Helvetica Neue" w:hAnsi="Helvetica Neue"/>
                      <w:color w:val="222222"/>
                      <w:sz w:val="18"/>
                      <w:szCs w:val="18"/>
                    </w:rPr>
                    <w:t>. The article underscores the necessity of disseminating articles that fully consider the humanitarian impact of the conflict and give paramount importance to drawing parallels between Indonesia’s colonial history and Ukraine’s suffering under both Soviet and Russian imperialism.</w:t>
                  </w:r>
                  <w:r>
                    <w:rPr>
                      <w:rFonts w:ascii="Helvetica Neue" w:hAnsi="Helvetica Neue"/>
                      <w:color w:val="222222"/>
                    </w:rPr>
                    <w:br/>
                  </w:r>
                  <w:r>
                    <w:rPr>
                      <w:rFonts w:ascii="Helvetica Neue" w:hAnsi="Helvetica Neue"/>
                      <w:color w:val="222222"/>
                    </w:rPr>
                    <w:br/>
                  </w:r>
                  <w:r>
                    <w:rPr>
                      <w:rFonts w:ascii="Helvetica Neue" w:hAnsi="Helvetica Neue"/>
                      <w:color w:val="222222"/>
                      <w:sz w:val="17"/>
                      <w:szCs w:val="17"/>
                    </w:rPr>
                    <w:t>Image credit: </w:t>
                  </w:r>
                  <w:proofErr w:type="spellStart"/>
                  <w:r>
                    <w:rPr>
                      <w:rFonts w:ascii="Helvetica Neue" w:hAnsi="Helvetica Neue"/>
                      <w:color w:val="222222"/>
                      <w:sz w:val="17"/>
                      <w:szCs w:val="17"/>
                    </w:rPr>
                    <w:fldChar w:fldCharType="begin"/>
                  </w:r>
                  <w:r>
                    <w:rPr>
                      <w:rFonts w:ascii="Helvetica Neue" w:hAnsi="Helvetica Neue"/>
                      <w:color w:val="222222"/>
                      <w:sz w:val="17"/>
                      <w:szCs w:val="17"/>
                    </w:rPr>
                    <w:instrText xml:space="preserve"> HYPERLINK "https://commons.wikimedia.org/wiki/File:09.26_Manasseh_Sogavare_20170926.jpg" \t "_blank" </w:instrText>
                  </w:r>
                  <w:r>
                    <w:rPr>
                      <w:rFonts w:ascii="Helvetica Neue" w:hAnsi="Helvetica Neue"/>
                      <w:color w:val="222222"/>
                      <w:sz w:val="17"/>
                      <w:szCs w:val="17"/>
                    </w:rPr>
                    <w:fldChar w:fldCharType="separate"/>
                  </w:r>
                  <w:r>
                    <w:rPr>
                      <w:rStyle w:val="Hyperlink"/>
                      <w:rFonts w:ascii="Helvetica Neue" w:hAnsi="Helvetica Neue"/>
                      <w:b/>
                      <w:bCs/>
                      <w:color w:val="4C6AA2"/>
                      <w:sz w:val="17"/>
                      <w:szCs w:val="17"/>
                    </w:rPr>
                    <w:t>U</w:t>
                  </w:r>
                  <w:r>
                    <w:rPr>
                      <w:rFonts w:ascii="Helvetica Neue" w:hAnsi="Helvetica Neue"/>
                      <w:color w:val="222222"/>
                      <w:sz w:val="17"/>
                      <w:szCs w:val="17"/>
                    </w:rPr>
                    <w:fldChar w:fldCharType="end"/>
                  </w:r>
                  <w:hyperlink r:id="rId27" w:tgtFrame="_blank" w:history="1">
                    <w:r>
                      <w:rPr>
                        <w:rStyle w:val="Hyperlink"/>
                        <w:rFonts w:ascii="Helvetica Neue" w:hAnsi="Helvetica Neue"/>
                        <w:b/>
                        <w:bCs/>
                        <w:color w:val="4C6AA2"/>
                        <w:sz w:val="17"/>
                        <w:szCs w:val="17"/>
                      </w:rPr>
                      <w:t>nsplash</w:t>
                    </w:r>
                    <w:proofErr w:type="spellEnd"/>
                  </w:hyperlink>
                </w:p>
                <w:p w14:paraId="0734420F" w14:textId="77777777" w:rsidR="00D0239C" w:rsidRDefault="00D0239C" w:rsidP="00D0239C">
                  <w:pPr>
                    <w:spacing w:line="300" w:lineRule="atLeast"/>
                    <w:rPr>
                      <w:rFonts w:ascii="Verdana" w:hAnsi="Verdana"/>
                      <w:color w:val="222222"/>
                    </w:rPr>
                  </w:pPr>
                  <w:r>
                    <w:rPr>
                      <w:rFonts w:ascii="Verdana" w:hAnsi="Verdana"/>
                      <w:color w:val="222222"/>
                    </w:rPr>
                    <w:t> </w:t>
                  </w:r>
                </w:p>
                <w:p w14:paraId="7AD6E98D" w14:textId="77777777" w:rsidR="00D0239C" w:rsidRDefault="00D0239C" w:rsidP="00D0239C">
                  <w:pPr>
                    <w:spacing w:line="300" w:lineRule="atLeast"/>
                    <w:rPr>
                      <w:rFonts w:ascii="Verdana" w:hAnsi="Verdana"/>
                      <w:color w:val="222222"/>
                    </w:rPr>
                  </w:pPr>
                  <w:r>
                    <w:rPr>
                      <w:rFonts w:ascii="Verdana" w:hAnsi="Verdana"/>
                      <w:color w:val="222222"/>
                    </w:rPr>
                    <w:t> </w:t>
                  </w:r>
                </w:p>
              </w:tc>
            </w:tr>
          </w:tbl>
          <w:p w14:paraId="78F1EEF3" w14:textId="77777777" w:rsidR="00D0239C" w:rsidRDefault="00D0239C">
            <w:pPr>
              <w:rPr>
                <w:rFonts w:ascii="Times" w:hAnsi="Times"/>
                <w:color w:val="000000"/>
                <w:sz w:val="27"/>
                <w:szCs w:val="27"/>
              </w:rPr>
            </w:pPr>
          </w:p>
        </w:tc>
      </w:tr>
    </w:tbl>
    <w:p w14:paraId="733FA578"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3CD8B2B1"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226FABC2" w14:textId="77777777">
              <w:tc>
                <w:tcPr>
                  <w:tcW w:w="0" w:type="auto"/>
                  <w:vAlign w:val="center"/>
                  <w:hideMark/>
                </w:tcPr>
                <w:p w14:paraId="6BBBE5E6" w14:textId="77777777" w:rsidR="00D0239C" w:rsidRDefault="00D0239C"/>
              </w:tc>
            </w:tr>
          </w:tbl>
          <w:p w14:paraId="311CE70D" w14:textId="77777777" w:rsidR="00D0239C" w:rsidRDefault="00D0239C">
            <w:pPr>
              <w:rPr>
                <w:rFonts w:ascii="Times" w:hAnsi="Times"/>
                <w:color w:val="000000"/>
                <w:sz w:val="27"/>
                <w:szCs w:val="27"/>
              </w:rPr>
            </w:pPr>
          </w:p>
        </w:tc>
      </w:tr>
    </w:tbl>
    <w:p w14:paraId="604C0964"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0FAD2B46"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0A466C47" w14:textId="77777777">
              <w:tc>
                <w:tcPr>
                  <w:tcW w:w="0" w:type="auto"/>
                  <w:tcMar>
                    <w:top w:w="0" w:type="dxa"/>
                    <w:left w:w="270" w:type="dxa"/>
                    <w:bottom w:w="135" w:type="dxa"/>
                    <w:right w:w="270" w:type="dxa"/>
                  </w:tcMar>
                  <w:hideMark/>
                </w:tcPr>
                <w:p w14:paraId="60111A0B" w14:textId="77777777" w:rsidR="00D0239C" w:rsidRDefault="00D0239C" w:rsidP="00D0239C">
                  <w:pPr>
                    <w:spacing w:line="360" w:lineRule="atLeast"/>
                    <w:rPr>
                      <w:rFonts w:ascii="Arial" w:hAnsi="Arial" w:cs="Arial"/>
                      <w:color w:val="000000"/>
                    </w:rPr>
                  </w:pPr>
                  <w:r>
                    <w:rPr>
                      <w:rStyle w:val="Emphasis"/>
                      <w:rFonts w:ascii="Helvetica Neue" w:hAnsi="Helvetica Neue" w:cs="Arial"/>
                      <w:color w:val="000000"/>
                      <w:sz w:val="17"/>
                      <w:szCs w:val="17"/>
                    </w:rPr>
                    <w:lastRenderedPageBreak/>
                    <w:t xml:space="preserve">This article was selected by Jacqueline </w:t>
                  </w:r>
                  <w:proofErr w:type="spellStart"/>
                  <w:r>
                    <w:rPr>
                      <w:rStyle w:val="Emphasis"/>
                      <w:rFonts w:ascii="Helvetica Neue" w:hAnsi="Helvetica Neue" w:cs="Arial"/>
                      <w:color w:val="000000"/>
                      <w:sz w:val="17"/>
                      <w:szCs w:val="17"/>
                    </w:rPr>
                    <w:t>Michalopoulos</w:t>
                  </w:r>
                  <w:proofErr w:type="spellEnd"/>
                  <w:r>
                    <w:rPr>
                      <w:rStyle w:val="Emphasis"/>
                      <w:rFonts w:ascii="Helvetica Neue" w:hAnsi="Helvetica Neue" w:cs="Arial"/>
                      <w:color w:val="000000"/>
                      <w:sz w:val="17"/>
                      <w:szCs w:val="17"/>
                    </w:rPr>
                    <w:t>. Jacqueline is a third year International &amp; Global Studies/International Relations student at the University of Sydney. She has a particular interest in European politics and the impact of decolonisation on emerging political economies, and is currently a Governance, Risk &amp; Compliance cadet at Transport for NSW.</w:t>
                  </w:r>
                </w:p>
                <w:p w14:paraId="0B20F43D" w14:textId="77777777" w:rsidR="00D0239C" w:rsidRDefault="00D0239C" w:rsidP="00D0239C">
                  <w:pPr>
                    <w:spacing w:line="360" w:lineRule="atLeast"/>
                    <w:rPr>
                      <w:rFonts w:ascii="Arial" w:hAnsi="Arial" w:cs="Arial"/>
                      <w:color w:val="000000"/>
                    </w:rPr>
                  </w:pPr>
                  <w:r>
                    <w:rPr>
                      <w:rFonts w:ascii="Arial" w:hAnsi="Arial" w:cs="Arial"/>
                      <w:color w:val="000000"/>
                    </w:rPr>
                    <w:t> </w:t>
                  </w:r>
                </w:p>
              </w:tc>
            </w:tr>
          </w:tbl>
          <w:p w14:paraId="4AB4A866" w14:textId="77777777" w:rsidR="00D0239C" w:rsidRDefault="00D0239C">
            <w:pPr>
              <w:rPr>
                <w:rFonts w:ascii="Times" w:hAnsi="Times" w:cs="Times New Roman"/>
                <w:color w:val="000000"/>
                <w:sz w:val="27"/>
                <w:szCs w:val="27"/>
              </w:rPr>
            </w:pPr>
          </w:p>
        </w:tc>
      </w:tr>
    </w:tbl>
    <w:p w14:paraId="0161C439"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448B61B0"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154E8B17" w14:textId="77777777">
              <w:tc>
                <w:tcPr>
                  <w:tcW w:w="0" w:type="auto"/>
                  <w:vAlign w:val="center"/>
                  <w:hideMark/>
                </w:tcPr>
                <w:p w14:paraId="1EB15D21" w14:textId="77777777" w:rsidR="00D0239C" w:rsidRDefault="00D0239C"/>
              </w:tc>
            </w:tr>
          </w:tbl>
          <w:p w14:paraId="013AB701" w14:textId="77777777" w:rsidR="00D0239C" w:rsidRDefault="00D0239C">
            <w:pPr>
              <w:rPr>
                <w:rFonts w:ascii="Times" w:hAnsi="Times"/>
                <w:color w:val="000000"/>
                <w:sz w:val="27"/>
                <w:szCs w:val="27"/>
              </w:rPr>
            </w:pPr>
          </w:p>
        </w:tc>
      </w:tr>
    </w:tbl>
    <w:p w14:paraId="322F879A"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455C9D72" w14:textId="77777777" w:rsidTr="00D0239C">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0239C" w14:paraId="7FBBD2B8" w14:textId="77777777">
              <w:tc>
                <w:tcPr>
                  <w:tcW w:w="0" w:type="auto"/>
                  <w:tcMar>
                    <w:top w:w="0" w:type="dxa"/>
                    <w:left w:w="135" w:type="dxa"/>
                    <w:bottom w:w="135" w:type="dxa"/>
                    <w:right w:w="135" w:type="dxa"/>
                  </w:tcMar>
                  <w:hideMark/>
                </w:tcPr>
                <w:p w14:paraId="6471E06E" w14:textId="3E3A9F73" w:rsidR="00D0239C" w:rsidRDefault="00D0239C">
                  <w:pPr>
                    <w:jc w:val="right"/>
                  </w:pPr>
                  <w:r>
                    <w:fldChar w:fldCharType="begin"/>
                  </w:r>
                  <w:r>
                    <w:instrText xml:space="preserve"> INCLUDEPICTURE "https://mcusercontent.com/0e9feb1606f1b4129a8b65828/images/5a7dd3c6-a233-c6ed-8213-b6698bb256ca.jpg" \* MERGEFORMATINET </w:instrText>
                  </w:r>
                  <w:r>
                    <w:fldChar w:fldCharType="separate"/>
                  </w:r>
                  <w:r>
                    <w:rPr>
                      <w:noProof/>
                    </w:rPr>
                    <w:drawing>
                      <wp:inline distT="0" distB="0" distL="0" distR="0" wp14:anchorId="4C9E5A12" wp14:editId="5053E9BC">
                        <wp:extent cx="6475730" cy="3730625"/>
                        <wp:effectExtent l="0" t="0" r="1270" b="3175"/>
                        <wp:docPr id="8" name="Picture 8" descr="A tank on a platform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ank on a platform in the snow&#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5730" cy="3730625"/>
                                </a:xfrm>
                                <a:prstGeom prst="rect">
                                  <a:avLst/>
                                </a:prstGeom>
                                <a:noFill/>
                                <a:ln>
                                  <a:noFill/>
                                </a:ln>
                              </pic:spPr>
                            </pic:pic>
                          </a:graphicData>
                        </a:graphic>
                      </wp:inline>
                    </w:drawing>
                  </w:r>
                  <w:r>
                    <w:fldChar w:fldCharType="end"/>
                  </w:r>
                </w:p>
              </w:tc>
            </w:tr>
            <w:tr w:rsidR="00D0239C" w14:paraId="60B12148" w14:textId="77777777">
              <w:tc>
                <w:tcPr>
                  <w:tcW w:w="8460" w:type="dxa"/>
                  <w:tcMar>
                    <w:top w:w="0" w:type="dxa"/>
                    <w:left w:w="135" w:type="dxa"/>
                    <w:bottom w:w="0" w:type="dxa"/>
                    <w:right w:w="135" w:type="dxa"/>
                  </w:tcMar>
                  <w:hideMark/>
                </w:tcPr>
                <w:p w14:paraId="638FD939" w14:textId="77777777" w:rsidR="00D0239C" w:rsidRDefault="00D0239C">
                  <w:pPr>
                    <w:pStyle w:val="Heading1"/>
                    <w:spacing w:before="0" w:beforeAutospacing="0" w:after="0" w:afterAutospacing="0" w:line="488" w:lineRule="atLeast"/>
                    <w:rPr>
                      <w:rFonts w:ascii="Arial" w:hAnsi="Arial" w:cs="Arial"/>
                      <w:color w:val="4C6AA2"/>
                      <w:spacing w:val="-15"/>
                      <w:sz w:val="39"/>
                      <w:szCs w:val="39"/>
                    </w:rPr>
                  </w:pPr>
                  <w:hyperlink r:id="rId29" w:tgtFrame="_blank" w:history="1">
                    <w:r>
                      <w:rPr>
                        <w:rStyle w:val="Hyperlink"/>
                        <w:rFonts w:ascii="Helvetica Neue" w:hAnsi="Helvetica Neue" w:cs="Arial"/>
                        <w:color w:val="4C6AA2"/>
                        <w:spacing w:val="-15"/>
                        <w:sz w:val="30"/>
                        <w:szCs w:val="30"/>
                      </w:rPr>
                      <w:t>Transnistria: The Next Front of the Ukraine war</w:t>
                    </w:r>
                  </w:hyperlink>
                </w:p>
                <w:p w14:paraId="208D4DA1" w14:textId="77777777" w:rsidR="00D0239C" w:rsidRDefault="00D0239C">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In this article from </w:t>
                  </w:r>
                  <w:r>
                    <w:rPr>
                      <w:rStyle w:val="Emphasis"/>
                      <w:rFonts w:ascii="Helvetica Neue" w:hAnsi="Helvetica Neue"/>
                      <w:color w:val="222222"/>
                      <w:sz w:val="18"/>
                      <w:szCs w:val="18"/>
                    </w:rPr>
                    <w:t>The Interpreter</w:t>
                  </w:r>
                  <w:r>
                    <w:rPr>
                      <w:rFonts w:ascii="Helvetica Neue" w:hAnsi="Helvetica Neue"/>
                      <w:color w:val="222222"/>
                      <w:sz w:val="18"/>
                      <w:szCs w:val="18"/>
                    </w:rPr>
                    <w:t>, Senior Research Fellow at the Australian National University David Brewster </w:t>
                  </w:r>
                  <w:hyperlink r:id="rId30" w:tgtFrame="_blank" w:history="1">
                    <w:r>
                      <w:rPr>
                        <w:rStyle w:val="Hyperlink"/>
                        <w:rFonts w:ascii="Helvetica Neue" w:hAnsi="Helvetica Neue"/>
                        <w:b/>
                        <w:bCs/>
                        <w:color w:val="4C6AA2"/>
                        <w:sz w:val="18"/>
                        <w:szCs w:val="18"/>
                      </w:rPr>
                      <w:t>hypothesises</w:t>
                    </w:r>
                  </w:hyperlink>
                  <w:r>
                    <w:rPr>
                      <w:rFonts w:ascii="Helvetica Neue" w:hAnsi="Helvetica Neue"/>
                      <w:color w:val="222222"/>
                      <w:sz w:val="18"/>
                      <w:szCs w:val="18"/>
                    </w:rPr>
                    <w:t xml:space="preserve"> that the next stage of the Russian invasion of Ukraine could incorporate Moldova and the Russian-aligned separatist region of Transnistria, a small region that shares a border with Ukraine. Transnistria has been the location of a prolonged Cold War conflict, with the Russian-speaking Transnistrians seeking independence from the post-Soviet state of Moldova. As a Russian-recognised independent region, it also hosts approximately 1500 Russian troops. A recent series of mysterious explosions in the region has analysts suggesting that Transnistria will be the next site of conflict, potentially in retaliation for the ‘pro-European’ stance Moldova has adopted since the election of President Maia </w:t>
                  </w:r>
                  <w:proofErr w:type="spellStart"/>
                  <w:r>
                    <w:rPr>
                      <w:rFonts w:ascii="Helvetica Neue" w:hAnsi="Helvetica Neue"/>
                      <w:color w:val="222222"/>
                      <w:sz w:val="18"/>
                      <w:szCs w:val="18"/>
                    </w:rPr>
                    <w:t>Sandu</w:t>
                  </w:r>
                  <w:proofErr w:type="spellEnd"/>
                  <w:r>
                    <w:rPr>
                      <w:rFonts w:ascii="Helvetica Neue" w:hAnsi="Helvetica Neue"/>
                      <w:color w:val="222222"/>
                      <w:sz w:val="18"/>
                      <w:szCs w:val="18"/>
                    </w:rPr>
                    <w:t xml:space="preserve"> in 2020. However, any hopes of destabilising Moldova through a renewed militarisation of Transnistria and its separatist forces could meet with significant resistance. Since these explosions, the Moldovan government has committed to EU sanctions against Russia and offered humanitarian aid to Ukraine, while Ukraine has committed to helping Moldova retake Transnistria if requested. If this situation deteriorates NATO states may even be led to arm and train the Moldovan military. Thus, an ambitious Kremlin could stand to lose more influence in the region should it overplay its hand.</w:t>
                  </w:r>
                  <w:r>
                    <w:rPr>
                      <w:rFonts w:ascii="Helvetica Neue" w:hAnsi="Helvetica Neue"/>
                      <w:color w:val="222222"/>
                    </w:rPr>
                    <w:br/>
                  </w:r>
                  <w:r>
                    <w:rPr>
                      <w:rFonts w:ascii="Helvetica Neue" w:hAnsi="Helvetica Neue"/>
                      <w:color w:val="222222"/>
                    </w:rPr>
                    <w:br/>
                  </w:r>
                  <w:r>
                    <w:rPr>
                      <w:rFonts w:ascii="Helvetica Neue" w:hAnsi="Helvetica Neue"/>
                      <w:color w:val="222222"/>
                      <w:sz w:val="17"/>
                      <w:szCs w:val="17"/>
                    </w:rPr>
                    <w:t>Image credit: </w:t>
                  </w:r>
                  <w:hyperlink r:id="rId31" w:tgtFrame="_blank" w:history="1">
                    <w:r>
                      <w:rPr>
                        <w:rStyle w:val="Hyperlink"/>
                        <w:rFonts w:ascii="Helvetica Neue" w:hAnsi="Helvetica Neue"/>
                        <w:b/>
                        <w:bCs/>
                        <w:color w:val="4C6AA2"/>
                        <w:sz w:val="17"/>
                        <w:szCs w:val="17"/>
                      </w:rPr>
                      <w:t xml:space="preserve">Stefan </w:t>
                    </w:r>
                    <w:proofErr w:type="spellStart"/>
                    <w:r>
                      <w:rPr>
                        <w:rStyle w:val="Hyperlink"/>
                        <w:rFonts w:ascii="Helvetica Neue" w:hAnsi="Helvetica Neue"/>
                        <w:b/>
                        <w:bCs/>
                        <w:color w:val="4C6AA2"/>
                        <w:sz w:val="17"/>
                        <w:szCs w:val="17"/>
                      </w:rPr>
                      <w:t>Wisselink</w:t>
                    </w:r>
                    <w:proofErr w:type="spellEnd"/>
                  </w:hyperlink>
                </w:p>
                <w:p w14:paraId="67E7DEDF" w14:textId="77777777" w:rsidR="00D0239C" w:rsidRDefault="00D0239C">
                  <w:pPr>
                    <w:spacing w:line="300" w:lineRule="atLeast"/>
                    <w:rPr>
                      <w:rFonts w:ascii="Verdana" w:hAnsi="Verdana"/>
                      <w:color w:val="222222"/>
                    </w:rPr>
                  </w:pPr>
                  <w:r>
                    <w:rPr>
                      <w:rFonts w:ascii="Verdana" w:hAnsi="Verdana"/>
                      <w:color w:val="222222"/>
                    </w:rPr>
                    <w:t> </w:t>
                  </w:r>
                </w:p>
                <w:p w14:paraId="455DF27E" w14:textId="77777777" w:rsidR="00D0239C" w:rsidRDefault="00D0239C" w:rsidP="00D0239C">
                  <w:pPr>
                    <w:spacing w:line="300" w:lineRule="atLeast"/>
                    <w:rPr>
                      <w:rFonts w:ascii="Verdana" w:hAnsi="Verdana"/>
                      <w:color w:val="222222"/>
                    </w:rPr>
                  </w:pPr>
                  <w:r>
                    <w:rPr>
                      <w:rFonts w:ascii="Verdana" w:hAnsi="Verdana"/>
                      <w:color w:val="222222"/>
                    </w:rPr>
                    <w:lastRenderedPageBreak/>
                    <w:t> </w:t>
                  </w:r>
                </w:p>
                <w:p w14:paraId="402CB1AD" w14:textId="77777777" w:rsidR="00D0239C" w:rsidRDefault="00D0239C" w:rsidP="00D0239C">
                  <w:pPr>
                    <w:spacing w:line="300" w:lineRule="atLeast"/>
                    <w:rPr>
                      <w:rFonts w:ascii="Verdana" w:hAnsi="Verdana"/>
                      <w:color w:val="222222"/>
                    </w:rPr>
                  </w:pPr>
                  <w:r>
                    <w:rPr>
                      <w:rFonts w:ascii="Verdana" w:hAnsi="Verdana"/>
                      <w:color w:val="222222"/>
                    </w:rPr>
                    <w:t> </w:t>
                  </w:r>
                </w:p>
                <w:p w14:paraId="0DA914E4" w14:textId="77777777" w:rsidR="00D0239C" w:rsidRDefault="00D0239C" w:rsidP="00D0239C">
                  <w:pPr>
                    <w:spacing w:line="300" w:lineRule="atLeast"/>
                    <w:rPr>
                      <w:rFonts w:ascii="Verdana" w:hAnsi="Verdana"/>
                      <w:color w:val="222222"/>
                    </w:rPr>
                  </w:pPr>
                  <w:r>
                    <w:rPr>
                      <w:rFonts w:ascii="Verdana" w:hAnsi="Verdana"/>
                      <w:color w:val="222222"/>
                    </w:rPr>
                    <w:t> </w:t>
                  </w:r>
                </w:p>
                <w:p w14:paraId="2A93168B" w14:textId="77777777" w:rsidR="00D0239C" w:rsidRDefault="00D0239C" w:rsidP="00D0239C">
                  <w:pPr>
                    <w:spacing w:line="300" w:lineRule="atLeast"/>
                    <w:rPr>
                      <w:rFonts w:ascii="Verdana" w:hAnsi="Verdana"/>
                      <w:color w:val="222222"/>
                    </w:rPr>
                  </w:pPr>
                  <w:r>
                    <w:rPr>
                      <w:rFonts w:ascii="Verdana" w:hAnsi="Verdana"/>
                      <w:color w:val="222222"/>
                    </w:rPr>
                    <w:t> </w:t>
                  </w:r>
                </w:p>
                <w:p w14:paraId="67D4904F" w14:textId="77777777" w:rsidR="00D0239C" w:rsidRDefault="00D0239C" w:rsidP="00D0239C">
                  <w:pPr>
                    <w:spacing w:line="300" w:lineRule="atLeast"/>
                    <w:rPr>
                      <w:rFonts w:ascii="Verdana" w:hAnsi="Verdana"/>
                      <w:color w:val="222222"/>
                    </w:rPr>
                  </w:pPr>
                  <w:r>
                    <w:rPr>
                      <w:rFonts w:ascii="Verdana" w:hAnsi="Verdana"/>
                      <w:color w:val="222222"/>
                    </w:rPr>
                    <w:t> </w:t>
                  </w:r>
                </w:p>
              </w:tc>
            </w:tr>
          </w:tbl>
          <w:p w14:paraId="0656A74B" w14:textId="77777777" w:rsidR="00D0239C" w:rsidRDefault="00D0239C">
            <w:pPr>
              <w:rPr>
                <w:rFonts w:ascii="Times" w:hAnsi="Times"/>
                <w:color w:val="000000"/>
                <w:sz w:val="27"/>
                <w:szCs w:val="27"/>
              </w:rPr>
            </w:pPr>
          </w:p>
        </w:tc>
      </w:tr>
    </w:tbl>
    <w:p w14:paraId="0D10F6E8"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6861FE1F" w14:textId="77777777" w:rsidTr="00D0239C">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5BFB02E0" w14:textId="77777777">
              <w:tc>
                <w:tcPr>
                  <w:tcW w:w="0" w:type="auto"/>
                  <w:vAlign w:val="center"/>
                  <w:hideMark/>
                </w:tcPr>
                <w:p w14:paraId="5EDCE99D" w14:textId="77777777" w:rsidR="00D0239C" w:rsidRDefault="00D0239C"/>
              </w:tc>
            </w:tr>
          </w:tbl>
          <w:p w14:paraId="47AA3938" w14:textId="77777777" w:rsidR="00D0239C" w:rsidRDefault="00D0239C">
            <w:pPr>
              <w:rPr>
                <w:rFonts w:ascii="Times" w:hAnsi="Times"/>
                <w:color w:val="000000"/>
                <w:sz w:val="27"/>
                <w:szCs w:val="27"/>
              </w:rPr>
            </w:pPr>
          </w:p>
        </w:tc>
      </w:tr>
    </w:tbl>
    <w:p w14:paraId="125ED0DE"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71E4C3EE"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6B56711F" w14:textId="77777777">
              <w:tc>
                <w:tcPr>
                  <w:tcW w:w="0" w:type="auto"/>
                  <w:tcMar>
                    <w:top w:w="0" w:type="dxa"/>
                    <w:left w:w="270" w:type="dxa"/>
                    <w:bottom w:w="135" w:type="dxa"/>
                    <w:right w:w="270" w:type="dxa"/>
                  </w:tcMar>
                  <w:hideMark/>
                </w:tcPr>
                <w:p w14:paraId="5A7F93D0" w14:textId="77777777" w:rsidR="00D0239C" w:rsidRDefault="00D0239C">
                  <w:pPr>
                    <w:spacing w:line="360" w:lineRule="atLeast"/>
                    <w:rPr>
                      <w:rFonts w:ascii="Verdana" w:hAnsi="Verdana"/>
                      <w:color w:val="000000"/>
                    </w:rPr>
                  </w:pPr>
                  <w:r>
                    <w:rPr>
                      <w:rStyle w:val="Emphasis"/>
                      <w:rFonts w:ascii="Helvetica Neue" w:hAnsi="Helvetica Neue"/>
                      <w:color w:val="000000"/>
                      <w:sz w:val="17"/>
                      <w:szCs w:val="17"/>
                    </w:rPr>
                    <w:t xml:space="preserve">This article was selected by Drew </w:t>
                  </w:r>
                  <w:proofErr w:type="spellStart"/>
                  <w:r>
                    <w:rPr>
                      <w:rStyle w:val="Emphasis"/>
                      <w:rFonts w:ascii="Helvetica Neue" w:hAnsi="Helvetica Neue"/>
                      <w:color w:val="000000"/>
                      <w:sz w:val="17"/>
                      <w:szCs w:val="17"/>
                    </w:rPr>
                    <w:t>Beacom</w:t>
                  </w:r>
                  <w:proofErr w:type="spellEnd"/>
                  <w:r>
                    <w:rPr>
                      <w:rStyle w:val="Emphasis"/>
                      <w:rFonts w:ascii="Helvetica Neue" w:hAnsi="Helvetica Neue"/>
                      <w:color w:val="000000"/>
                      <w:sz w:val="17"/>
                      <w:szCs w:val="17"/>
                    </w:rPr>
                    <w:t>. Drew is currently undertaking a Bachelor of Arts and Bachelor of Advanced Studies (International and Global Studies) at the University of Sydney. Drew has spent the past year as a councillor on the University of Sydney Student Representative Council, holding the position of Environment Officer, and is currently a delegate to the National Union of Students.</w:t>
                  </w:r>
                </w:p>
              </w:tc>
            </w:tr>
          </w:tbl>
          <w:p w14:paraId="6E3E94F1" w14:textId="77777777" w:rsidR="00D0239C" w:rsidRDefault="00D0239C">
            <w:pPr>
              <w:rPr>
                <w:rFonts w:ascii="Times" w:hAnsi="Times"/>
                <w:color w:val="000000"/>
                <w:sz w:val="27"/>
                <w:szCs w:val="27"/>
              </w:rPr>
            </w:pPr>
          </w:p>
        </w:tc>
      </w:tr>
    </w:tbl>
    <w:p w14:paraId="703D6E54"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3F731D40" w14:textId="77777777" w:rsidTr="00D0239C">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4BBC0581" w14:textId="77777777">
              <w:tc>
                <w:tcPr>
                  <w:tcW w:w="0" w:type="auto"/>
                  <w:vAlign w:val="center"/>
                  <w:hideMark/>
                </w:tcPr>
                <w:p w14:paraId="7FBE89DE" w14:textId="77777777" w:rsidR="00D0239C" w:rsidRDefault="00D0239C"/>
              </w:tc>
            </w:tr>
          </w:tbl>
          <w:p w14:paraId="072C0972" w14:textId="77777777" w:rsidR="00D0239C" w:rsidRDefault="00D0239C">
            <w:pPr>
              <w:rPr>
                <w:rFonts w:ascii="Times" w:hAnsi="Times"/>
                <w:color w:val="000000"/>
                <w:sz w:val="27"/>
                <w:szCs w:val="27"/>
              </w:rPr>
            </w:pPr>
          </w:p>
        </w:tc>
      </w:tr>
    </w:tbl>
    <w:p w14:paraId="3E35FAFD"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21372659" w14:textId="77777777" w:rsidTr="00D0239C">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67EED4E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0239C" w14:paraId="3D4EDA9F" w14:textId="77777777">
                    <w:tc>
                      <w:tcPr>
                        <w:tcW w:w="0" w:type="auto"/>
                        <w:shd w:val="clear" w:color="auto" w:fill="4B6AA2"/>
                        <w:tcMar>
                          <w:top w:w="270" w:type="dxa"/>
                          <w:left w:w="270" w:type="dxa"/>
                          <w:bottom w:w="270" w:type="dxa"/>
                          <w:right w:w="270" w:type="dxa"/>
                        </w:tcMar>
                        <w:hideMark/>
                      </w:tcPr>
                      <w:p w14:paraId="37EA947A" w14:textId="77777777" w:rsidR="00D0239C" w:rsidRDefault="00D0239C">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525D87C" w14:textId="77777777" w:rsidR="00D0239C" w:rsidRDefault="00D0239C">
                  <w:pPr>
                    <w:rPr>
                      <w:rFonts w:ascii="Times New Roman" w:hAnsi="Times New Roman"/>
                    </w:rPr>
                  </w:pPr>
                </w:p>
              </w:tc>
            </w:tr>
          </w:tbl>
          <w:p w14:paraId="506A832D" w14:textId="77777777" w:rsidR="00D0239C" w:rsidRDefault="00D0239C">
            <w:pPr>
              <w:rPr>
                <w:rFonts w:ascii="Times" w:hAnsi="Times"/>
                <w:color w:val="000000"/>
                <w:sz w:val="27"/>
                <w:szCs w:val="27"/>
              </w:rPr>
            </w:pPr>
          </w:p>
        </w:tc>
      </w:tr>
    </w:tbl>
    <w:p w14:paraId="5BC6E55E"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29665371"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4EA124D4" w14:textId="77777777">
              <w:tc>
                <w:tcPr>
                  <w:tcW w:w="0" w:type="auto"/>
                  <w:tcMar>
                    <w:top w:w="0" w:type="dxa"/>
                    <w:left w:w="270" w:type="dxa"/>
                    <w:bottom w:w="135" w:type="dxa"/>
                    <w:right w:w="270" w:type="dxa"/>
                  </w:tcMar>
                  <w:hideMark/>
                </w:tcPr>
                <w:p w14:paraId="785A3A76" w14:textId="77777777" w:rsidR="00D0239C" w:rsidRDefault="00D0239C" w:rsidP="00D0239C">
                  <w:pPr>
                    <w:numPr>
                      <w:ilvl w:val="0"/>
                      <w:numId w:val="46"/>
                    </w:numPr>
                    <w:spacing w:before="100" w:beforeAutospacing="1" w:after="75" w:line="360" w:lineRule="atLeast"/>
                    <w:rPr>
                      <w:rFonts w:ascii="Verdana" w:hAnsi="Verdana"/>
                      <w:color w:val="000000"/>
                    </w:rPr>
                  </w:pPr>
                  <w:r>
                    <w:rPr>
                      <w:rFonts w:ascii="Helvetica Neue" w:hAnsi="Helvetica Neue"/>
                      <w:color w:val="000000"/>
                      <w:sz w:val="18"/>
                      <w:szCs w:val="18"/>
                    </w:rPr>
                    <w:t>Writing for </w:t>
                  </w:r>
                  <w:r>
                    <w:rPr>
                      <w:rStyle w:val="Emphasis"/>
                      <w:rFonts w:ascii="Helvetica Neue" w:hAnsi="Helvetica Neue"/>
                      <w:color w:val="000000"/>
                      <w:sz w:val="18"/>
                      <w:szCs w:val="18"/>
                    </w:rPr>
                    <w:t>The Strategist</w:t>
                  </w:r>
                  <w:r>
                    <w:rPr>
                      <w:rFonts w:ascii="Helvetica Neue" w:hAnsi="Helvetica Neue"/>
                      <w:color w:val="000000"/>
                      <w:sz w:val="18"/>
                      <w:szCs w:val="18"/>
                    </w:rPr>
                    <w:t>, Jack Norton </w:t>
                  </w:r>
                  <w:hyperlink r:id="rId32" w:tgtFrame="_blank" w:history="1">
                    <w:r>
                      <w:rPr>
                        <w:rStyle w:val="Hyperlink"/>
                        <w:rFonts w:ascii="Helvetica Neue" w:hAnsi="Helvetica Neue"/>
                        <w:b/>
                        <w:bCs/>
                        <w:color w:val="4C6AA2"/>
                        <w:sz w:val="18"/>
                        <w:szCs w:val="18"/>
                      </w:rPr>
                      <w:t>analyses </w:t>
                    </w:r>
                  </w:hyperlink>
                  <w:r>
                    <w:rPr>
                      <w:rFonts w:ascii="Helvetica Neue" w:hAnsi="Helvetica Neue"/>
                      <w:color w:val="000000"/>
                      <w:sz w:val="18"/>
                      <w:szCs w:val="18"/>
                    </w:rPr>
                    <w:t>former Prime Minister Kevin Rudd's address concerning the recent China-Solomons security deal, particularly noting the future political complexities precipitated by the current situation.</w:t>
                  </w:r>
                </w:p>
                <w:p w14:paraId="3881AF9D" w14:textId="77777777" w:rsidR="00D0239C" w:rsidRDefault="00D0239C" w:rsidP="00D0239C">
                  <w:pPr>
                    <w:numPr>
                      <w:ilvl w:val="0"/>
                      <w:numId w:val="46"/>
                    </w:numPr>
                    <w:spacing w:before="100" w:beforeAutospacing="1" w:after="75" w:line="360" w:lineRule="atLeast"/>
                    <w:rPr>
                      <w:rFonts w:ascii="Verdana" w:hAnsi="Verdana"/>
                      <w:color w:val="000000"/>
                    </w:rPr>
                  </w:pPr>
                  <w:r>
                    <w:rPr>
                      <w:rFonts w:ascii="Helvetica Neue" w:hAnsi="Helvetica Neue"/>
                      <w:color w:val="000000"/>
                      <w:sz w:val="18"/>
                      <w:szCs w:val="18"/>
                    </w:rPr>
                    <w:t>On the </w:t>
                  </w:r>
                  <w:r>
                    <w:rPr>
                      <w:rStyle w:val="Emphasis"/>
                      <w:rFonts w:ascii="Helvetica Neue" w:hAnsi="Helvetica Neue"/>
                      <w:color w:val="000000"/>
                      <w:sz w:val="18"/>
                      <w:szCs w:val="18"/>
                    </w:rPr>
                    <w:t>Council for Foreign Relation's</w:t>
                  </w:r>
                  <w:r>
                    <w:rPr>
                      <w:rFonts w:ascii="Helvetica Neue" w:hAnsi="Helvetica Neue"/>
                      <w:color w:val="000000"/>
                      <w:sz w:val="18"/>
                      <w:szCs w:val="18"/>
                    </w:rPr>
                    <w:t> podcast </w:t>
                  </w:r>
                  <w:r>
                    <w:rPr>
                      <w:rStyle w:val="Emphasis"/>
                      <w:rFonts w:ascii="Helvetica Neue" w:hAnsi="Helvetica Neue"/>
                      <w:color w:val="000000"/>
                      <w:sz w:val="18"/>
                      <w:szCs w:val="18"/>
                    </w:rPr>
                    <w:t>The World Next Week</w:t>
                  </w:r>
                  <w:r>
                    <w:rPr>
                      <w:rFonts w:ascii="Helvetica Neue" w:hAnsi="Helvetica Neue"/>
                      <w:color w:val="000000"/>
                      <w:sz w:val="18"/>
                      <w:szCs w:val="18"/>
                    </w:rPr>
                    <w:t>, James M. Lindsay and Rob McMahon </w:t>
                  </w:r>
                  <w:hyperlink r:id="rId33" w:tgtFrame="_blank" w:history="1">
                    <w:r>
                      <w:rPr>
                        <w:rStyle w:val="Hyperlink"/>
                        <w:rFonts w:ascii="Helvetica Neue" w:hAnsi="Helvetica Neue"/>
                        <w:b/>
                        <w:bCs/>
                        <w:color w:val="4C6AA2"/>
                        <w:sz w:val="18"/>
                        <w:szCs w:val="18"/>
                      </w:rPr>
                      <w:t>discuss </w:t>
                    </w:r>
                  </w:hyperlink>
                  <w:r>
                    <w:rPr>
                      <w:rFonts w:ascii="Helvetica Neue" w:hAnsi="Helvetica Neue"/>
                      <w:color w:val="000000"/>
                      <w:sz w:val="18"/>
                      <w:szCs w:val="18"/>
                    </w:rPr>
                    <w:t>the impacts of the US Federal Reserve raising interest rates, the US assumption of the presidency of the UN Security Council, and Japan’s recent changes to its security and defence policies in light of its Constitution Memorial Day.</w:t>
                  </w:r>
                </w:p>
                <w:p w14:paraId="623ADF7E" w14:textId="77777777" w:rsidR="00D0239C" w:rsidRDefault="00D0239C" w:rsidP="00D0239C">
                  <w:pPr>
                    <w:numPr>
                      <w:ilvl w:val="0"/>
                      <w:numId w:val="46"/>
                    </w:numPr>
                    <w:spacing w:before="100" w:beforeAutospacing="1" w:after="75" w:line="360" w:lineRule="atLeast"/>
                    <w:rPr>
                      <w:rFonts w:ascii="Verdana" w:hAnsi="Verdana"/>
                      <w:color w:val="000000"/>
                    </w:rPr>
                  </w:pPr>
                  <w:proofErr w:type="spellStart"/>
                  <w:r>
                    <w:rPr>
                      <w:rFonts w:ascii="Helvetica Neue" w:hAnsi="Helvetica Neue"/>
                      <w:color w:val="000000"/>
                      <w:sz w:val="18"/>
                      <w:szCs w:val="18"/>
                    </w:rPr>
                    <w:t>Mucahid</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Durmaz</w:t>
                  </w:r>
                  <w:proofErr w:type="spellEnd"/>
                  <w:r>
                    <w:rPr>
                      <w:rFonts w:ascii="Helvetica Neue" w:hAnsi="Helvetica Neue"/>
                      <w:color w:val="000000"/>
                      <w:sz w:val="18"/>
                      <w:szCs w:val="18"/>
                    </w:rPr>
                    <w:t xml:space="preserve"> and Murtala Abdullahi, writing for </w:t>
                  </w:r>
                  <w:r>
                    <w:rPr>
                      <w:rStyle w:val="Emphasis"/>
                      <w:rFonts w:ascii="Helvetica Neue" w:hAnsi="Helvetica Neue"/>
                      <w:color w:val="000000"/>
                      <w:sz w:val="18"/>
                      <w:szCs w:val="18"/>
                    </w:rPr>
                    <w:t>Al Jazeera</w:t>
                  </w:r>
                  <w:r>
                    <w:rPr>
                      <w:rFonts w:ascii="Helvetica Neue" w:hAnsi="Helvetica Neue"/>
                      <w:color w:val="000000"/>
                      <w:sz w:val="18"/>
                      <w:szCs w:val="18"/>
                    </w:rPr>
                    <w:t>, </w:t>
                  </w:r>
                  <w:hyperlink r:id="rId34" w:tgtFrame="_blank" w:history="1">
                    <w:r>
                      <w:rPr>
                        <w:rStyle w:val="Hyperlink"/>
                        <w:rFonts w:ascii="Helvetica Neue" w:hAnsi="Helvetica Neue"/>
                        <w:b/>
                        <w:bCs/>
                        <w:color w:val="4C6AA2"/>
                        <w:sz w:val="18"/>
                        <w:szCs w:val="18"/>
                      </w:rPr>
                      <w:t>consider </w:t>
                    </w:r>
                  </w:hyperlink>
                  <w:r>
                    <w:rPr>
                      <w:rFonts w:ascii="Helvetica Neue" w:hAnsi="Helvetica Neue"/>
                      <w:color w:val="000000"/>
                      <w:sz w:val="18"/>
                      <w:szCs w:val="18"/>
                    </w:rPr>
                    <w:t>the advent of private armies in African conflicts, noting the prevalence of influential mercenaries on a continent where armies are increasingly unable to curtail the orbit of armed groups.</w:t>
                  </w:r>
                  <w:r>
                    <w:rPr>
                      <w:rFonts w:ascii="Verdana" w:hAnsi="Verdana"/>
                      <w:color w:val="000000"/>
                    </w:rPr>
                    <w:t> </w:t>
                  </w:r>
                </w:p>
                <w:p w14:paraId="079CCD3A" w14:textId="77777777" w:rsidR="00D0239C" w:rsidRDefault="00D0239C" w:rsidP="00D0239C">
                  <w:pPr>
                    <w:numPr>
                      <w:ilvl w:val="0"/>
                      <w:numId w:val="46"/>
                    </w:numPr>
                    <w:spacing w:before="100" w:beforeAutospacing="1" w:after="75" w:line="360" w:lineRule="atLeast"/>
                    <w:rPr>
                      <w:rFonts w:ascii="Verdana" w:hAnsi="Verdana"/>
                      <w:color w:val="000000"/>
                    </w:rPr>
                  </w:pPr>
                  <w:r>
                    <w:rPr>
                      <w:rFonts w:ascii="Helvetica Neue" w:hAnsi="Helvetica Neue"/>
                      <w:color w:val="000000"/>
                      <w:sz w:val="18"/>
                      <w:szCs w:val="18"/>
                    </w:rPr>
                    <w:t>Writing for </w:t>
                  </w:r>
                  <w:r>
                    <w:rPr>
                      <w:rStyle w:val="Emphasis"/>
                      <w:rFonts w:ascii="Helvetica Neue" w:hAnsi="Helvetica Neue"/>
                      <w:color w:val="000000"/>
                      <w:sz w:val="18"/>
                      <w:szCs w:val="18"/>
                    </w:rPr>
                    <w:t>The Diplomat</w:t>
                  </w:r>
                  <w:r>
                    <w:rPr>
                      <w:rFonts w:ascii="Helvetica Neue" w:hAnsi="Helvetica Neue"/>
                      <w:color w:val="000000"/>
                      <w:sz w:val="18"/>
                      <w:szCs w:val="18"/>
                    </w:rPr>
                    <w:t>, Raymond E. Vickery Jr. </w:t>
                  </w:r>
                  <w:hyperlink r:id="rId35" w:tgtFrame="_blank" w:history="1">
                    <w:r>
                      <w:rPr>
                        <w:rStyle w:val="Hyperlink"/>
                        <w:rFonts w:ascii="Helvetica Neue" w:hAnsi="Helvetica Neue"/>
                        <w:b/>
                        <w:bCs/>
                        <w:color w:val="4C6AA2"/>
                        <w:sz w:val="18"/>
                        <w:szCs w:val="18"/>
                      </w:rPr>
                      <w:t>analyses</w:t>
                    </w:r>
                  </w:hyperlink>
                  <w:r>
                    <w:rPr>
                      <w:rFonts w:ascii="Helvetica Neue" w:hAnsi="Helvetica Neue"/>
                      <w:color w:val="000000"/>
                      <w:sz w:val="18"/>
                      <w:szCs w:val="18"/>
                    </w:rPr>
                    <w:t> the recent "2+2 Dialogue" between the United States and India, highlighting the lack of attention paid to the Russian invasion of Ukraine and the historical context that is shaping current foreign policy. </w:t>
                  </w:r>
                </w:p>
                <w:p w14:paraId="2579E57E" w14:textId="77777777" w:rsidR="00D0239C" w:rsidRDefault="00D0239C" w:rsidP="00D0239C">
                  <w:pPr>
                    <w:numPr>
                      <w:ilvl w:val="0"/>
                      <w:numId w:val="46"/>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The Interpreter, </w:t>
                  </w:r>
                  <w:r>
                    <w:rPr>
                      <w:rFonts w:ascii="Helvetica Neue" w:hAnsi="Helvetica Neue"/>
                      <w:color w:val="000000"/>
                      <w:sz w:val="18"/>
                      <w:szCs w:val="18"/>
                    </w:rPr>
                    <w:t>Kirsten Han, </w:t>
                  </w:r>
                  <w:hyperlink r:id="rId36" w:tgtFrame="_blank" w:history="1">
                    <w:r>
                      <w:rPr>
                        <w:rStyle w:val="Hyperlink"/>
                        <w:rFonts w:ascii="Helvetica Neue" w:hAnsi="Helvetica Neue"/>
                        <w:b/>
                        <w:bCs/>
                        <w:color w:val="4C6AA2"/>
                        <w:sz w:val="18"/>
                        <w:szCs w:val="18"/>
                      </w:rPr>
                      <w:t>explores</w:t>
                    </w:r>
                  </w:hyperlink>
                  <w:r>
                    <w:rPr>
                      <w:rFonts w:ascii="Helvetica Neue" w:hAnsi="Helvetica Neue"/>
                      <w:color w:val="000000"/>
                      <w:sz w:val="18"/>
                      <w:szCs w:val="18"/>
                    </w:rPr>
                    <w:t> the rising popularity of the abolition movement in Singapore in the aftermath of the execution of </w:t>
                  </w:r>
                  <w:proofErr w:type="spellStart"/>
                  <w:r>
                    <w:rPr>
                      <w:rFonts w:ascii="Helvetica Neue" w:hAnsi="Helvetica Neue"/>
                      <w:color w:val="000000"/>
                      <w:sz w:val="18"/>
                      <w:szCs w:val="18"/>
                    </w:rPr>
                    <w:t>Nagaenthran</w:t>
                  </w:r>
                  <w:proofErr w:type="spellEnd"/>
                  <w:r>
                    <w:rPr>
                      <w:rFonts w:ascii="Helvetica Neue" w:hAnsi="Helvetica Neue"/>
                      <w:color w:val="000000"/>
                      <w:sz w:val="18"/>
                      <w:szCs w:val="18"/>
                    </w:rPr>
                    <w:t xml:space="preserve"> K </w:t>
                  </w:r>
                  <w:proofErr w:type="spellStart"/>
                  <w:r>
                    <w:rPr>
                      <w:rFonts w:ascii="Helvetica Neue" w:hAnsi="Helvetica Neue"/>
                      <w:color w:val="000000"/>
                      <w:sz w:val="18"/>
                      <w:szCs w:val="18"/>
                    </w:rPr>
                    <w:t>Dharmalingam</w:t>
                  </w:r>
                  <w:proofErr w:type="spellEnd"/>
                  <w:r>
                    <w:rPr>
                      <w:rFonts w:ascii="Helvetica Neue" w:hAnsi="Helvetica Neue"/>
                      <w:color w:val="000000"/>
                      <w:sz w:val="18"/>
                      <w:szCs w:val="18"/>
                    </w:rPr>
                    <w:t>, who was executed in spite of his cognitive impairments and a popular campaign to pardon him.</w:t>
                  </w:r>
                </w:p>
                <w:p w14:paraId="5065C7D2" w14:textId="77777777" w:rsidR="00D0239C" w:rsidRDefault="00D0239C" w:rsidP="00D0239C">
                  <w:pPr>
                    <w:numPr>
                      <w:ilvl w:val="0"/>
                      <w:numId w:val="46"/>
                    </w:numPr>
                    <w:spacing w:before="100" w:beforeAutospacing="1" w:after="75" w:line="360" w:lineRule="atLeast"/>
                    <w:rPr>
                      <w:rFonts w:ascii="Verdana" w:hAnsi="Verdana"/>
                      <w:color w:val="000000"/>
                    </w:rPr>
                  </w:pPr>
                  <w:r>
                    <w:rPr>
                      <w:rFonts w:ascii="Helvetica Neue" w:hAnsi="Helvetica Neue"/>
                      <w:color w:val="000000"/>
                      <w:sz w:val="18"/>
                      <w:szCs w:val="18"/>
                    </w:rPr>
                    <w:t>Writing for </w:t>
                  </w:r>
                  <w:proofErr w:type="gramStart"/>
                  <w:r>
                    <w:rPr>
                      <w:rStyle w:val="Emphasis"/>
                      <w:rFonts w:ascii="Helvetica Neue" w:hAnsi="Helvetica Neue"/>
                      <w:color w:val="000000"/>
                      <w:sz w:val="18"/>
                      <w:szCs w:val="18"/>
                    </w:rPr>
                    <w:t>The</w:t>
                  </w:r>
                  <w:proofErr w:type="gramEnd"/>
                  <w:r>
                    <w:rPr>
                      <w:rStyle w:val="Emphasis"/>
                      <w:rFonts w:ascii="Helvetica Neue" w:hAnsi="Helvetica Neue"/>
                      <w:color w:val="000000"/>
                      <w:sz w:val="18"/>
                      <w:szCs w:val="18"/>
                    </w:rPr>
                    <w:t xml:space="preserve"> BBC</w:t>
                  </w:r>
                  <w:r>
                    <w:rPr>
                      <w:rFonts w:ascii="Helvetica Neue" w:hAnsi="Helvetica Neue"/>
                      <w:color w:val="000000"/>
                      <w:sz w:val="18"/>
                      <w:szCs w:val="18"/>
                    </w:rPr>
                    <w:t>, Nick Marsh </w:t>
                  </w:r>
                  <w:hyperlink r:id="rId37"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the divisions that persist within Sri Lankan society, as citizens of all religious backgrounds unite against the current Rajapaksa Government.</w:t>
                  </w:r>
                </w:p>
                <w:p w14:paraId="6BAFB434" w14:textId="77777777" w:rsidR="00D0239C" w:rsidRDefault="00D0239C" w:rsidP="00D0239C">
                  <w:pPr>
                    <w:spacing w:line="360" w:lineRule="atLeast"/>
                    <w:rPr>
                      <w:rFonts w:ascii="Verdana" w:hAnsi="Verdana"/>
                      <w:color w:val="000000"/>
                    </w:rPr>
                  </w:pPr>
                  <w:r>
                    <w:rPr>
                      <w:rFonts w:ascii="Verdana" w:hAnsi="Verdana"/>
                      <w:color w:val="000000"/>
                    </w:rPr>
                    <w:t> </w:t>
                  </w:r>
                </w:p>
              </w:tc>
            </w:tr>
          </w:tbl>
          <w:p w14:paraId="170EAF43" w14:textId="77777777" w:rsidR="00D0239C" w:rsidRDefault="00D0239C">
            <w:pPr>
              <w:rPr>
                <w:rFonts w:ascii="Times" w:hAnsi="Times"/>
                <w:color w:val="000000"/>
                <w:sz w:val="27"/>
                <w:szCs w:val="27"/>
              </w:rPr>
            </w:pPr>
          </w:p>
        </w:tc>
      </w:tr>
    </w:tbl>
    <w:p w14:paraId="559BCF12"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3977685E" w14:textId="77777777" w:rsidTr="00D0239C">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0239C" w14:paraId="70020EC7" w14:textId="77777777">
              <w:tc>
                <w:tcPr>
                  <w:tcW w:w="0" w:type="auto"/>
                  <w:vAlign w:val="center"/>
                  <w:hideMark/>
                </w:tcPr>
                <w:p w14:paraId="5563C825" w14:textId="77777777" w:rsidR="00D0239C" w:rsidRDefault="00D0239C"/>
              </w:tc>
            </w:tr>
          </w:tbl>
          <w:p w14:paraId="19FDD23F" w14:textId="77777777" w:rsidR="00D0239C" w:rsidRDefault="00D0239C">
            <w:pPr>
              <w:rPr>
                <w:rFonts w:ascii="Times" w:hAnsi="Times"/>
                <w:color w:val="000000"/>
                <w:sz w:val="27"/>
                <w:szCs w:val="27"/>
              </w:rPr>
            </w:pPr>
          </w:p>
        </w:tc>
      </w:tr>
    </w:tbl>
    <w:p w14:paraId="34EBC1CE"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0A64E431" w14:textId="77777777" w:rsidTr="00D0239C">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463A849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0239C" w14:paraId="0E88FB33" w14:textId="77777777">
                    <w:tc>
                      <w:tcPr>
                        <w:tcW w:w="0" w:type="auto"/>
                        <w:shd w:val="clear" w:color="auto" w:fill="4B6AA2"/>
                        <w:tcMar>
                          <w:top w:w="270" w:type="dxa"/>
                          <w:left w:w="270" w:type="dxa"/>
                          <w:bottom w:w="270" w:type="dxa"/>
                          <w:right w:w="270" w:type="dxa"/>
                        </w:tcMar>
                        <w:hideMark/>
                      </w:tcPr>
                      <w:p w14:paraId="5376C5A4" w14:textId="77777777" w:rsidR="00D0239C" w:rsidRDefault="00D0239C">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Letters to the Editor</w:t>
                        </w:r>
                      </w:p>
                    </w:tc>
                  </w:tr>
                </w:tbl>
                <w:p w14:paraId="3819861B" w14:textId="77777777" w:rsidR="00D0239C" w:rsidRDefault="00D0239C">
                  <w:pPr>
                    <w:rPr>
                      <w:rFonts w:ascii="Times New Roman" w:hAnsi="Times New Roman"/>
                    </w:rPr>
                  </w:pPr>
                </w:p>
              </w:tc>
            </w:tr>
          </w:tbl>
          <w:p w14:paraId="4DFD52F8" w14:textId="77777777" w:rsidR="00D0239C" w:rsidRDefault="00D0239C">
            <w:pPr>
              <w:rPr>
                <w:rFonts w:ascii="Times" w:hAnsi="Times"/>
                <w:color w:val="000000"/>
                <w:sz w:val="27"/>
                <w:szCs w:val="27"/>
              </w:rPr>
            </w:pPr>
          </w:p>
        </w:tc>
      </w:tr>
    </w:tbl>
    <w:p w14:paraId="5B92D516"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29FFBE7B" w14:textId="77777777" w:rsidTr="00D0239C">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0239C" w14:paraId="0E8E057E" w14:textId="77777777">
              <w:tc>
                <w:tcPr>
                  <w:tcW w:w="0" w:type="auto"/>
                  <w:vAlign w:val="center"/>
                  <w:hideMark/>
                </w:tcPr>
                <w:p w14:paraId="2B058A0E" w14:textId="77777777" w:rsidR="00D0239C" w:rsidRDefault="00D0239C"/>
              </w:tc>
            </w:tr>
          </w:tbl>
          <w:p w14:paraId="79757468" w14:textId="77777777" w:rsidR="00D0239C" w:rsidRDefault="00D0239C">
            <w:pPr>
              <w:rPr>
                <w:rFonts w:ascii="Times" w:hAnsi="Times"/>
                <w:color w:val="000000"/>
                <w:sz w:val="27"/>
                <w:szCs w:val="27"/>
              </w:rPr>
            </w:pPr>
          </w:p>
        </w:tc>
      </w:tr>
    </w:tbl>
    <w:p w14:paraId="533B4289"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6F90B90E" w14:textId="77777777" w:rsidTr="00D0239C">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0239C" w14:paraId="4055F394" w14:textId="77777777">
              <w:tc>
                <w:tcPr>
                  <w:tcW w:w="0" w:type="auto"/>
                  <w:tcMar>
                    <w:top w:w="0" w:type="dxa"/>
                    <w:left w:w="270" w:type="dxa"/>
                    <w:bottom w:w="135" w:type="dxa"/>
                    <w:right w:w="270" w:type="dxa"/>
                  </w:tcMar>
                  <w:hideMark/>
                </w:tcPr>
                <w:p w14:paraId="2374510C" w14:textId="77777777" w:rsidR="00D0239C" w:rsidRDefault="00D0239C">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8"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3C6E53C6" w14:textId="77777777" w:rsidR="00D0239C" w:rsidRDefault="00D0239C">
            <w:pPr>
              <w:rPr>
                <w:rFonts w:ascii="Times" w:hAnsi="Times"/>
                <w:color w:val="000000"/>
                <w:sz w:val="27"/>
                <w:szCs w:val="27"/>
              </w:rPr>
            </w:pPr>
          </w:p>
        </w:tc>
      </w:tr>
    </w:tbl>
    <w:p w14:paraId="1E183E08" w14:textId="77777777" w:rsidR="00D0239C" w:rsidRDefault="00D0239C" w:rsidP="00D0239C">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0239C" w14:paraId="402E1072" w14:textId="77777777" w:rsidTr="00D0239C">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0239C" w14:paraId="4A42A471" w14:textId="77777777">
              <w:tc>
                <w:tcPr>
                  <w:tcW w:w="0" w:type="auto"/>
                  <w:vAlign w:val="center"/>
                  <w:hideMark/>
                </w:tcPr>
                <w:p w14:paraId="23107AC5" w14:textId="77777777" w:rsidR="00D0239C" w:rsidRDefault="00D0239C"/>
              </w:tc>
            </w:tr>
          </w:tbl>
          <w:p w14:paraId="79AB6AD3" w14:textId="77777777" w:rsidR="00D0239C" w:rsidRDefault="00D0239C">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51820"/>
    <w:multiLevelType w:val="multilevel"/>
    <w:tmpl w:val="9000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C45A3"/>
    <w:multiLevelType w:val="multilevel"/>
    <w:tmpl w:val="7AF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72FC0"/>
    <w:multiLevelType w:val="multilevel"/>
    <w:tmpl w:val="4E7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74453"/>
    <w:multiLevelType w:val="multilevel"/>
    <w:tmpl w:val="B74E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DF3122"/>
    <w:multiLevelType w:val="multilevel"/>
    <w:tmpl w:val="57C21D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8C32D9"/>
    <w:multiLevelType w:val="multilevel"/>
    <w:tmpl w:val="F648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656982"/>
    <w:multiLevelType w:val="multilevel"/>
    <w:tmpl w:val="EF1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957885"/>
    <w:multiLevelType w:val="multilevel"/>
    <w:tmpl w:val="C714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188202">
    <w:abstractNumId w:val="37"/>
  </w:num>
  <w:num w:numId="2" w16cid:durableId="2111898344">
    <w:abstractNumId w:val="9"/>
  </w:num>
  <w:num w:numId="3" w16cid:durableId="861433511">
    <w:abstractNumId w:val="20"/>
  </w:num>
  <w:num w:numId="4" w16cid:durableId="1645549691">
    <w:abstractNumId w:val="18"/>
  </w:num>
  <w:num w:numId="5" w16cid:durableId="2144955657">
    <w:abstractNumId w:val="4"/>
  </w:num>
  <w:num w:numId="6" w16cid:durableId="1113094733">
    <w:abstractNumId w:val="21"/>
  </w:num>
  <w:num w:numId="7" w16cid:durableId="1931157726">
    <w:abstractNumId w:val="22"/>
  </w:num>
  <w:num w:numId="8" w16cid:durableId="724374024">
    <w:abstractNumId w:val="10"/>
  </w:num>
  <w:num w:numId="9" w16cid:durableId="79523098">
    <w:abstractNumId w:val="28"/>
  </w:num>
  <w:num w:numId="10" w16cid:durableId="1343975762">
    <w:abstractNumId w:val="12"/>
  </w:num>
  <w:num w:numId="11" w16cid:durableId="725642425">
    <w:abstractNumId w:val="16"/>
  </w:num>
  <w:num w:numId="12" w16cid:durableId="1921059029">
    <w:abstractNumId w:val="36"/>
  </w:num>
  <w:num w:numId="13" w16cid:durableId="2005431656">
    <w:abstractNumId w:val="8"/>
  </w:num>
  <w:num w:numId="14" w16cid:durableId="222837300">
    <w:abstractNumId w:val="39"/>
  </w:num>
  <w:num w:numId="15" w16cid:durableId="1744402307">
    <w:abstractNumId w:val="0"/>
  </w:num>
  <w:num w:numId="16" w16cid:durableId="227155824">
    <w:abstractNumId w:val="25"/>
  </w:num>
  <w:num w:numId="17" w16cid:durableId="1974210186">
    <w:abstractNumId w:val="42"/>
  </w:num>
  <w:num w:numId="18" w16cid:durableId="606739153">
    <w:abstractNumId w:val="30"/>
  </w:num>
  <w:num w:numId="19" w16cid:durableId="454100841">
    <w:abstractNumId w:val="1"/>
  </w:num>
  <w:num w:numId="20" w16cid:durableId="1672877308">
    <w:abstractNumId w:val="34"/>
  </w:num>
  <w:num w:numId="21" w16cid:durableId="444349046">
    <w:abstractNumId w:val="24"/>
  </w:num>
  <w:num w:numId="22" w16cid:durableId="1395543375">
    <w:abstractNumId w:val="33"/>
  </w:num>
  <w:num w:numId="23" w16cid:durableId="1669751935">
    <w:abstractNumId w:val="6"/>
  </w:num>
  <w:num w:numId="24" w16cid:durableId="537814634">
    <w:abstractNumId w:val="29"/>
  </w:num>
  <w:num w:numId="25" w16cid:durableId="1286698390">
    <w:abstractNumId w:val="27"/>
  </w:num>
  <w:num w:numId="26" w16cid:durableId="1417704454">
    <w:abstractNumId w:val="3"/>
  </w:num>
  <w:num w:numId="27" w16cid:durableId="274678268">
    <w:abstractNumId w:val="15"/>
  </w:num>
  <w:num w:numId="28" w16cid:durableId="2086758063">
    <w:abstractNumId w:val="17"/>
  </w:num>
  <w:num w:numId="29" w16cid:durableId="928391885">
    <w:abstractNumId w:val="40"/>
  </w:num>
  <w:num w:numId="30" w16cid:durableId="1898740031">
    <w:abstractNumId w:val="32"/>
  </w:num>
  <w:num w:numId="31" w16cid:durableId="918909631">
    <w:abstractNumId w:val="41"/>
  </w:num>
  <w:num w:numId="32" w16cid:durableId="1325015314">
    <w:abstractNumId w:val="14"/>
  </w:num>
  <w:num w:numId="33" w16cid:durableId="1713923811">
    <w:abstractNumId w:val="45"/>
  </w:num>
  <w:num w:numId="34" w16cid:durableId="1295260748">
    <w:abstractNumId w:val="31"/>
  </w:num>
  <w:num w:numId="35" w16cid:durableId="408230149">
    <w:abstractNumId w:val="2"/>
  </w:num>
  <w:num w:numId="36" w16cid:durableId="1860897917">
    <w:abstractNumId w:val="43"/>
  </w:num>
  <w:num w:numId="37" w16cid:durableId="808322670">
    <w:abstractNumId w:val="23"/>
  </w:num>
  <w:num w:numId="38" w16cid:durableId="1724058267">
    <w:abstractNumId w:val="19"/>
  </w:num>
  <w:num w:numId="39" w16cid:durableId="1105147693">
    <w:abstractNumId w:val="11"/>
  </w:num>
  <w:num w:numId="40" w16cid:durableId="59790327">
    <w:abstractNumId w:val="38"/>
  </w:num>
  <w:num w:numId="41" w16cid:durableId="1558276464">
    <w:abstractNumId w:val="44"/>
  </w:num>
  <w:num w:numId="42" w16cid:durableId="1043017375">
    <w:abstractNumId w:val="13"/>
  </w:num>
  <w:num w:numId="43" w16cid:durableId="1511990850">
    <w:abstractNumId w:val="5"/>
  </w:num>
  <w:num w:numId="44" w16cid:durableId="1811482359">
    <w:abstractNumId w:val="7"/>
  </w:num>
  <w:num w:numId="45" w16cid:durableId="1904022532">
    <w:abstractNumId w:val="35"/>
  </w:num>
  <w:num w:numId="46" w16cid:durableId="12301878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1C6B8B"/>
    <w:rsid w:val="002D2B26"/>
    <w:rsid w:val="003127A5"/>
    <w:rsid w:val="003E04A9"/>
    <w:rsid w:val="003E78B6"/>
    <w:rsid w:val="00417DD1"/>
    <w:rsid w:val="0043553B"/>
    <w:rsid w:val="00446DA3"/>
    <w:rsid w:val="004F5A25"/>
    <w:rsid w:val="00500F2A"/>
    <w:rsid w:val="00620940"/>
    <w:rsid w:val="0066194E"/>
    <w:rsid w:val="0066673F"/>
    <w:rsid w:val="00824535"/>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0239C"/>
    <w:rsid w:val="00D329FD"/>
    <w:rsid w:val="00D334F3"/>
    <w:rsid w:val="00D507DA"/>
    <w:rsid w:val="00D516B1"/>
    <w:rsid w:val="00DA71A4"/>
    <w:rsid w:val="00E1467A"/>
    <w:rsid w:val="00E3020E"/>
    <w:rsid w:val="00EB345E"/>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488836845">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2127921">
      <w:bodyDiv w:val="1"/>
      <w:marLeft w:val="0"/>
      <w:marRight w:val="0"/>
      <w:marTop w:val="0"/>
      <w:marBottom w:val="0"/>
      <w:divBdr>
        <w:top w:val="none" w:sz="0" w:space="0" w:color="auto"/>
        <w:left w:val="none" w:sz="0" w:space="0" w:color="auto"/>
        <w:bottom w:val="none" w:sz="0" w:space="0" w:color="auto"/>
        <w:right w:val="none" w:sz="0" w:space="0" w:color="auto"/>
      </w:divBdr>
      <w:divsChild>
        <w:div w:id="1560091888">
          <w:marLeft w:val="0"/>
          <w:marRight w:val="0"/>
          <w:marTop w:val="0"/>
          <w:marBottom w:val="0"/>
          <w:divBdr>
            <w:top w:val="none" w:sz="0" w:space="0" w:color="auto"/>
            <w:left w:val="none" w:sz="0" w:space="0" w:color="auto"/>
            <w:bottom w:val="none" w:sz="0" w:space="0" w:color="auto"/>
            <w:right w:val="none" w:sz="0" w:space="0" w:color="auto"/>
          </w:divBdr>
        </w:div>
        <w:div w:id="428741126">
          <w:marLeft w:val="0"/>
          <w:marRight w:val="0"/>
          <w:marTop w:val="0"/>
          <w:marBottom w:val="0"/>
          <w:divBdr>
            <w:top w:val="none" w:sz="0" w:space="0" w:color="auto"/>
            <w:left w:val="none" w:sz="0" w:space="0" w:color="auto"/>
            <w:bottom w:val="none" w:sz="0" w:space="0" w:color="auto"/>
            <w:right w:val="none" w:sz="0" w:space="0" w:color="auto"/>
          </w:divBdr>
        </w:div>
        <w:div w:id="501773039">
          <w:marLeft w:val="0"/>
          <w:marRight w:val="0"/>
          <w:marTop w:val="0"/>
          <w:marBottom w:val="0"/>
          <w:divBdr>
            <w:top w:val="none" w:sz="0" w:space="0" w:color="auto"/>
            <w:left w:val="none" w:sz="0" w:space="0" w:color="auto"/>
            <w:bottom w:val="none" w:sz="0" w:space="0" w:color="auto"/>
            <w:right w:val="none" w:sz="0" w:space="0" w:color="auto"/>
          </w:divBdr>
        </w:div>
        <w:div w:id="576089275">
          <w:marLeft w:val="0"/>
          <w:marRight w:val="0"/>
          <w:marTop w:val="0"/>
          <w:marBottom w:val="0"/>
          <w:divBdr>
            <w:top w:val="none" w:sz="0" w:space="0" w:color="auto"/>
            <w:left w:val="none" w:sz="0" w:space="0" w:color="auto"/>
            <w:bottom w:val="none" w:sz="0" w:space="0" w:color="auto"/>
            <w:right w:val="none" w:sz="0" w:space="0" w:color="auto"/>
          </w:divBdr>
        </w:div>
        <w:div w:id="1813058612">
          <w:marLeft w:val="0"/>
          <w:marRight w:val="0"/>
          <w:marTop w:val="0"/>
          <w:marBottom w:val="0"/>
          <w:divBdr>
            <w:top w:val="none" w:sz="0" w:space="0" w:color="auto"/>
            <w:left w:val="none" w:sz="0" w:space="0" w:color="auto"/>
            <w:bottom w:val="none" w:sz="0" w:space="0" w:color="auto"/>
            <w:right w:val="none" w:sz="0" w:space="0" w:color="auto"/>
          </w:divBdr>
        </w:div>
        <w:div w:id="1063604584">
          <w:marLeft w:val="0"/>
          <w:marRight w:val="0"/>
          <w:marTop w:val="0"/>
          <w:marBottom w:val="0"/>
          <w:divBdr>
            <w:top w:val="none" w:sz="0" w:space="0" w:color="auto"/>
            <w:left w:val="none" w:sz="0" w:space="0" w:color="auto"/>
            <w:bottom w:val="none" w:sz="0" w:space="0" w:color="auto"/>
            <w:right w:val="none" w:sz="0" w:space="0" w:color="auto"/>
          </w:divBdr>
        </w:div>
        <w:div w:id="762650858">
          <w:marLeft w:val="0"/>
          <w:marRight w:val="0"/>
          <w:marTop w:val="0"/>
          <w:marBottom w:val="0"/>
          <w:divBdr>
            <w:top w:val="none" w:sz="0" w:space="0" w:color="auto"/>
            <w:left w:val="none" w:sz="0" w:space="0" w:color="auto"/>
            <w:bottom w:val="none" w:sz="0" w:space="0" w:color="auto"/>
            <w:right w:val="none" w:sz="0" w:space="0" w:color="auto"/>
          </w:divBdr>
        </w:div>
        <w:div w:id="1217353131">
          <w:marLeft w:val="0"/>
          <w:marRight w:val="0"/>
          <w:marTop w:val="0"/>
          <w:marBottom w:val="0"/>
          <w:divBdr>
            <w:top w:val="none" w:sz="0" w:space="0" w:color="auto"/>
            <w:left w:val="none" w:sz="0" w:space="0" w:color="auto"/>
            <w:bottom w:val="none" w:sz="0" w:space="0" w:color="auto"/>
            <w:right w:val="none" w:sz="0" w:space="0" w:color="auto"/>
          </w:divBdr>
        </w:div>
        <w:div w:id="363212566">
          <w:marLeft w:val="0"/>
          <w:marRight w:val="0"/>
          <w:marTop w:val="0"/>
          <w:marBottom w:val="0"/>
          <w:divBdr>
            <w:top w:val="none" w:sz="0" w:space="0" w:color="auto"/>
            <w:left w:val="none" w:sz="0" w:space="0" w:color="auto"/>
            <w:bottom w:val="none" w:sz="0" w:space="0" w:color="auto"/>
            <w:right w:val="none" w:sz="0" w:space="0" w:color="auto"/>
          </w:divBdr>
        </w:div>
        <w:div w:id="97869446">
          <w:marLeft w:val="0"/>
          <w:marRight w:val="0"/>
          <w:marTop w:val="0"/>
          <w:marBottom w:val="0"/>
          <w:divBdr>
            <w:top w:val="none" w:sz="0" w:space="0" w:color="auto"/>
            <w:left w:val="none" w:sz="0" w:space="0" w:color="auto"/>
            <w:bottom w:val="none" w:sz="0" w:space="0" w:color="auto"/>
            <w:right w:val="none" w:sz="0" w:space="0" w:color="auto"/>
          </w:divBdr>
        </w:div>
        <w:div w:id="1512180747">
          <w:marLeft w:val="0"/>
          <w:marRight w:val="0"/>
          <w:marTop w:val="0"/>
          <w:marBottom w:val="0"/>
          <w:divBdr>
            <w:top w:val="none" w:sz="0" w:space="0" w:color="auto"/>
            <w:left w:val="none" w:sz="0" w:space="0" w:color="auto"/>
            <w:bottom w:val="none" w:sz="0" w:space="0" w:color="auto"/>
            <w:right w:val="none" w:sz="0" w:space="0" w:color="auto"/>
          </w:divBdr>
        </w:div>
        <w:div w:id="609823012">
          <w:marLeft w:val="0"/>
          <w:marRight w:val="0"/>
          <w:marTop w:val="0"/>
          <w:marBottom w:val="0"/>
          <w:divBdr>
            <w:top w:val="none" w:sz="0" w:space="0" w:color="auto"/>
            <w:left w:val="none" w:sz="0" w:space="0" w:color="auto"/>
            <w:bottom w:val="none" w:sz="0" w:space="0" w:color="auto"/>
            <w:right w:val="none" w:sz="0" w:space="0" w:color="auto"/>
          </w:divBdr>
        </w:div>
      </w:divsChild>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09850226">
      <w:bodyDiv w:val="1"/>
      <w:marLeft w:val="0"/>
      <w:marRight w:val="0"/>
      <w:marTop w:val="0"/>
      <w:marBottom w:val="0"/>
      <w:divBdr>
        <w:top w:val="none" w:sz="0" w:space="0" w:color="auto"/>
        <w:left w:val="none" w:sz="0" w:space="0" w:color="auto"/>
        <w:bottom w:val="none" w:sz="0" w:space="0" w:color="auto"/>
        <w:right w:val="none" w:sz="0" w:space="0" w:color="auto"/>
      </w:divBdr>
      <w:divsChild>
        <w:div w:id="1031682449">
          <w:marLeft w:val="0"/>
          <w:marRight w:val="0"/>
          <w:marTop w:val="0"/>
          <w:marBottom w:val="0"/>
          <w:divBdr>
            <w:top w:val="none" w:sz="0" w:space="0" w:color="auto"/>
            <w:left w:val="none" w:sz="0" w:space="0" w:color="auto"/>
            <w:bottom w:val="none" w:sz="0" w:space="0" w:color="auto"/>
            <w:right w:val="none" w:sz="0" w:space="0" w:color="auto"/>
          </w:divBdr>
        </w:div>
        <w:div w:id="1413551075">
          <w:marLeft w:val="0"/>
          <w:marRight w:val="0"/>
          <w:marTop w:val="0"/>
          <w:marBottom w:val="0"/>
          <w:divBdr>
            <w:top w:val="none" w:sz="0" w:space="0" w:color="auto"/>
            <w:left w:val="none" w:sz="0" w:space="0" w:color="auto"/>
            <w:bottom w:val="none" w:sz="0" w:space="0" w:color="auto"/>
            <w:right w:val="none" w:sz="0" w:space="0" w:color="auto"/>
          </w:divBdr>
        </w:div>
        <w:div w:id="1222785369">
          <w:marLeft w:val="0"/>
          <w:marRight w:val="0"/>
          <w:marTop w:val="0"/>
          <w:marBottom w:val="0"/>
          <w:divBdr>
            <w:top w:val="none" w:sz="0" w:space="0" w:color="auto"/>
            <w:left w:val="none" w:sz="0" w:space="0" w:color="auto"/>
            <w:bottom w:val="none" w:sz="0" w:space="0" w:color="auto"/>
            <w:right w:val="none" w:sz="0" w:space="0" w:color="auto"/>
          </w:divBdr>
        </w:div>
        <w:div w:id="1530415015">
          <w:marLeft w:val="0"/>
          <w:marRight w:val="0"/>
          <w:marTop w:val="0"/>
          <w:marBottom w:val="0"/>
          <w:divBdr>
            <w:top w:val="none" w:sz="0" w:space="0" w:color="auto"/>
            <w:left w:val="none" w:sz="0" w:space="0" w:color="auto"/>
            <w:bottom w:val="none" w:sz="0" w:space="0" w:color="auto"/>
            <w:right w:val="none" w:sz="0" w:space="0" w:color="auto"/>
          </w:divBdr>
        </w:div>
        <w:div w:id="624120134">
          <w:marLeft w:val="0"/>
          <w:marRight w:val="0"/>
          <w:marTop w:val="0"/>
          <w:marBottom w:val="0"/>
          <w:divBdr>
            <w:top w:val="none" w:sz="0" w:space="0" w:color="auto"/>
            <w:left w:val="none" w:sz="0" w:space="0" w:color="auto"/>
            <w:bottom w:val="none" w:sz="0" w:space="0" w:color="auto"/>
            <w:right w:val="none" w:sz="0" w:space="0" w:color="auto"/>
          </w:divBdr>
        </w:div>
        <w:div w:id="1043021225">
          <w:marLeft w:val="0"/>
          <w:marRight w:val="0"/>
          <w:marTop w:val="0"/>
          <w:marBottom w:val="0"/>
          <w:divBdr>
            <w:top w:val="none" w:sz="0" w:space="0" w:color="auto"/>
            <w:left w:val="none" w:sz="0" w:space="0" w:color="auto"/>
            <w:bottom w:val="none" w:sz="0" w:space="0" w:color="auto"/>
            <w:right w:val="none" w:sz="0" w:space="0" w:color="auto"/>
          </w:divBdr>
        </w:div>
        <w:div w:id="817189316">
          <w:marLeft w:val="0"/>
          <w:marRight w:val="0"/>
          <w:marTop w:val="0"/>
          <w:marBottom w:val="0"/>
          <w:divBdr>
            <w:top w:val="none" w:sz="0" w:space="0" w:color="auto"/>
            <w:left w:val="none" w:sz="0" w:space="0" w:color="auto"/>
            <w:bottom w:val="none" w:sz="0" w:space="0" w:color="auto"/>
            <w:right w:val="none" w:sz="0" w:space="0" w:color="auto"/>
          </w:divBdr>
        </w:div>
        <w:div w:id="1765952025">
          <w:marLeft w:val="0"/>
          <w:marRight w:val="0"/>
          <w:marTop w:val="0"/>
          <w:marBottom w:val="0"/>
          <w:divBdr>
            <w:top w:val="none" w:sz="0" w:space="0" w:color="auto"/>
            <w:left w:val="none" w:sz="0" w:space="0" w:color="auto"/>
            <w:bottom w:val="none" w:sz="0" w:space="0" w:color="auto"/>
            <w:right w:val="none" w:sz="0" w:space="0" w:color="auto"/>
          </w:divBdr>
        </w:div>
      </w:divsChild>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conversation.com/saying-china-bought-a-military-base-in-the-solomons-is-simplistic-and-shows-how-little-australia-understands-power-in-the-pacific-180020" TargetMode="External"/><Relationship Id="rId18" Type="http://schemas.openxmlformats.org/officeDocument/2006/relationships/hyperlink" Target="https://www.lrb.co.uk/the-paper/v44/n06/tom-stevenson/first-recourse-for-rebels" TargetMode="External"/><Relationship Id="rId26" Type="http://schemas.openxmlformats.org/officeDocument/2006/relationships/hyperlink" Target="https://theconversation.com/why-many-indonesian-experts-are-pro-russia-and-ignoring-ukraines-perspective-180942" TargetMode="External"/><Relationship Id="rId39" Type="http://schemas.openxmlformats.org/officeDocument/2006/relationships/fontTable" Target="fontTable.xml"/><Relationship Id="rId21" Type="http://schemas.openxmlformats.org/officeDocument/2006/relationships/hyperlink" Target="https://www.foreignaffairs.com/articles/ukraine/1993-06-01/case-ukrainian-nuclear-deterrent" TargetMode="External"/><Relationship Id="rId34" Type="http://schemas.openxmlformats.org/officeDocument/2006/relationships/hyperlink" Target="https://www.aljazeera.com/podcasts/the-inside-story-podcast" TargetMode="External"/><Relationship Id="rId7" Type="http://schemas.openxmlformats.org/officeDocument/2006/relationships/image" Target="media/image3.jpeg"/><Relationship Id="rId12" Type="http://schemas.openxmlformats.org/officeDocument/2006/relationships/hyperlink" Target="https://www.crikey.com.au/2022/04/27/solonons-debacle-intelligence-chiefs-dig-in-deeper/" TargetMode="External"/><Relationship Id="rId17" Type="http://schemas.openxmlformats.org/officeDocument/2006/relationships/hyperlink" Target="https://www.lrb.co.uk/the-paper/v44/n06/tom-stevenson/first-recourse-for-rebels" TargetMode="External"/><Relationship Id="rId25" Type="http://schemas.openxmlformats.org/officeDocument/2006/relationships/hyperlink" Target="https://theconversation.com/why-many-indonesian-experts-are-pro-russia-and-ignoring-ukraines-perspective-180942" TargetMode="External"/><Relationship Id="rId33" Type="http://schemas.openxmlformats.org/officeDocument/2006/relationships/hyperlink" Target="https://www.cfr.org/podcasts/federal-reserve-committee-convenes-us-leads-un-security-council-and-more" TargetMode="External"/><Relationship Id="rId38"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yperlink" Target="https://www.lowyinstitute.org/the-interpreter/transnistria-next-front-ukraine-wa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smh.com.au/national/from-china-to-climate-and-covid-does-australia-really-care-for-the-pacific-20220429-p5ah34.html?ref=rss&amp;utm_medium=rss&amp;utm_source=rss_feed" TargetMode="External"/><Relationship Id="rId24" Type="http://schemas.openxmlformats.org/officeDocument/2006/relationships/image" Target="media/image6.jpeg"/><Relationship Id="rId32" Type="http://schemas.openxmlformats.org/officeDocument/2006/relationships/hyperlink" Target="https://www.aspistrategist.org.au/china-solomons-deal-politically-illiterate-if-beijing-wants-better-ties-with-australia-rudd/" TargetMode="External"/><Relationship Id="rId37" Type="http://schemas.openxmlformats.org/officeDocument/2006/relationships/hyperlink" Target="https://www.bbc.com/news/world-asia-61295238"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flickr.com/photos/joemargy/9791223223/in/photolist-fVdzxv-4yfhUK-4hCEbH-FxSppN-FPPbNY-25at3H2-FVG9FU-FPPax1-FPPaoo-FxSofJ-FXZ2Vn-FxSpp7-FPPaAN-FVG9C7-FxSpoW-FS8fJ4-FVG8EA-FxSo5o-FPPbm5-FXZ3Ye-FS8gGM-F3Jc5k-FxSpmb-F3xvvS-FVG9hC-cTfC8J-kwrL3c-26PauTi-81rQMx-2ka8vGp-FPPbSL-FVG9Cs-2kBfNxi-2mWSFym-2mJeWpk-FPPb7C-F3xv4j-FS8fYH-dScbBF-FxSoRo-FS8gCP-FXZ3ZB-6J3qKe-F3JaRZ-FxSoay-FxSomf-2mRRWjf-FVG8KL-F3xvg3-F3JaJ4" TargetMode="External"/><Relationship Id="rId23" Type="http://schemas.openxmlformats.org/officeDocument/2006/relationships/hyperlink" Target="https://www.flickr.com/photos/duncan/51949971868/in/photolist-2n9DbJ9-2n68xQo-2hD92gt-2nfi2ST-2n8PcLD-2ncimkJ-2n5Ejxh-2n8o44w-2n6eUrS-2n8wXff-2n9pZj5-2n6aDwx-4g4veA-5oUxiT-5oUxFk-5oYQf5-2n7Vk34-5oYPPm-5oUxHF-5oYQh3-MY4tiv-7LGSrC-7LGSLY-7LGRtW-XSmjv-7LGRLN-7LCU2i-7LGQVL-7LCVzc-7LGSR5-9EBxPe-2hN34JV-2hBiLHE-2n5xcre-2nb3e75-2hMrhPn-2n6bWmf-2n6Af9T-2m8Qdki-2n8p2Gg-2n9EUdk-2nfRPsK-2naZGGe-Bu1Zd1-LRYPuq-riRFUS-GtDVx1-2n6EjUt-2n7yHdS-bu6tjA" TargetMode="External"/><Relationship Id="rId28" Type="http://schemas.openxmlformats.org/officeDocument/2006/relationships/image" Target="media/image7.jpeg"/><Relationship Id="rId36" Type="http://schemas.openxmlformats.org/officeDocument/2006/relationships/hyperlink" Target="https://www.lowyinstitute.org/the-interpreter/death-penalty-singapore-s-growing-abolition-movement" TargetMode="External"/><Relationship Id="rId10" Type="http://schemas.openxmlformats.org/officeDocument/2006/relationships/hyperlink" Target="https://johnmenadue.com/australia-is-still-in-fear-of-china/" TargetMode="External"/><Relationship Id="rId19" Type="http://schemas.openxmlformats.org/officeDocument/2006/relationships/hyperlink" Target="https://unsplash.com/photos/WVUrbhWtRNM" TargetMode="External"/><Relationship Id="rId31" Type="http://schemas.openxmlformats.org/officeDocument/2006/relationships/hyperlink" Target="https://www.flickr.com/photos/135727714@N06/31956222715/in/photolist-QFRZFa-L9g9X7-icxgz-qp2Qtg-21vaprs-5PjVLW-2hKkrWE-5PfC5r-22ywuKJ-okkW5r-okCrre-22t9Nhw-21fW7zc-p5Qi2o-ng7Lgn-NT85Qo-nxBBkk-ng81kC-SptVSf-PdXPrs-2gDADK6-QMy8pt-pYUtp8-23WaQ6R-QMy9pe-2da5sai-2exAmGk-QMy95X-2hs4uAr-2exAkUt-2exAncD-2exAnMB-QMy8G2-2d4mH7g-25niKgg-ng7Lnz-2boVjzV-2eM9MnJ-2ezXukX-2ezXLhB-pXRFgC-NSjh3Y-872v38-2d4mH7M-hFHKu-MCZaWk-5PfxEP-2eM9QzW-5PjXqS-5PfCGR" TargetMode="External"/><Relationship Id="rId4" Type="http://schemas.openxmlformats.org/officeDocument/2006/relationships/webSettings" Target="webSettings.xml"/><Relationship Id="rId9" Type="http://schemas.openxmlformats.org/officeDocument/2006/relationships/hyperlink" Target="https://johnmenadue.com/ukraine-india-china-and-australia-a-khaki-election/" TargetMode="External"/><Relationship Id="rId14" Type="http://schemas.openxmlformats.org/officeDocument/2006/relationships/hyperlink" Target="https://theconversation.com/saying-china-bought-a-military-base-in-the-solomons-is-simplistic-and-shows-how-little-australia-understands-power-in-the-pacific-180020" TargetMode="External"/><Relationship Id="rId22" Type="http://schemas.openxmlformats.org/officeDocument/2006/relationships/hyperlink" Target="https://www.iiss.org/blogs/survival-blog/2022/03/from-the-archive-ukraine-a-fantasy-counterfactual" TargetMode="External"/><Relationship Id="rId27" Type="http://schemas.openxmlformats.org/officeDocument/2006/relationships/hyperlink" Target="https://unsplash.com/photos/TrhLCn1abMU" TargetMode="External"/><Relationship Id="rId30" Type="http://schemas.openxmlformats.org/officeDocument/2006/relationships/hyperlink" Target="https://www.lowyinstitute.org/the-interpreter/transnistria-next-front-ukraine-war" TargetMode="External"/><Relationship Id="rId35" Type="http://schemas.openxmlformats.org/officeDocument/2006/relationships/hyperlink" Target="https://thediplomat.com/2022/04/india-us-relations-and-the-jaishankar-doctrine/" TargetMode="External"/><Relationship Id="rId8" Type="http://schemas.openxmlformats.org/officeDocument/2006/relationships/hyperlink" Target="https://johnmenadue.com/australia-is-still-in-fear-of-chin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2944</Words>
  <Characters>16785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2022-05-06T07:53:00Z</dcterms:created>
  <dcterms:modified xsi:type="dcterms:W3CDTF">2022-05-06T07:53:00Z</dcterms:modified>
</cp:coreProperties>
</file>