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E484DED"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24535" w14:paraId="469DBF69" w14:textId="77777777">
              <w:tc>
                <w:tcPr>
                  <w:tcW w:w="0" w:type="auto"/>
                  <w:tcMar>
                    <w:top w:w="0" w:type="dxa"/>
                    <w:left w:w="135" w:type="dxa"/>
                    <w:bottom w:w="0" w:type="dxa"/>
                    <w:right w:w="135" w:type="dxa"/>
                  </w:tcMar>
                  <w:hideMark/>
                </w:tcPr>
                <w:p w14:paraId="19AE1664" w14:textId="33690E46" w:rsidR="00824535" w:rsidRDefault="00824535">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F671151" wp14:editId="39CE1E31">
                        <wp:extent cx="6475730" cy="1424940"/>
                        <wp:effectExtent l="0" t="0" r="127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4940"/>
                                </a:xfrm>
                                <a:prstGeom prst="rect">
                                  <a:avLst/>
                                </a:prstGeom>
                                <a:noFill/>
                                <a:ln>
                                  <a:noFill/>
                                </a:ln>
                              </pic:spPr>
                            </pic:pic>
                          </a:graphicData>
                        </a:graphic>
                      </wp:inline>
                    </w:drawing>
                  </w:r>
                  <w:r>
                    <w:fldChar w:fldCharType="end"/>
                  </w:r>
                </w:p>
              </w:tc>
            </w:tr>
          </w:tbl>
          <w:p w14:paraId="2CC50B1E" w14:textId="77777777" w:rsidR="00824535" w:rsidRDefault="00824535">
            <w:pPr>
              <w:rPr>
                <w:rFonts w:ascii="Times" w:hAnsi="Times"/>
                <w:color w:val="000000"/>
                <w:sz w:val="27"/>
                <w:szCs w:val="27"/>
              </w:rPr>
            </w:pPr>
          </w:p>
        </w:tc>
      </w:tr>
    </w:tbl>
    <w:p w14:paraId="56E23046"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9E5BE3C"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6EDC8FBA" w14:textId="77777777">
              <w:tc>
                <w:tcPr>
                  <w:tcW w:w="0" w:type="auto"/>
                  <w:tcMar>
                    <w:top w:w="0" w:type="dxa"/>
                    <w:left w:w="270" w:type="dxa"/>
                    <w:bottom w:w="135" w:type="dxa"/>
                    <w:right w:w="270" w:type="dxa"/>
                  </w:tcMar>
                  <w:hideMark/>
                </w:tcPr>
                <w:p w14:paraId="3E62C998" w14:textId="77777777" w:rsidR="00824535" w:rsidRDefault="00824535">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54 of:</w:t>
                  </w:r>
                </w:p>
              </w:tc>
            </w:tr>
          </w:tbl>
          <w:p w14:paraId="1E82C5AA" w14:textId="77777777" w:rsidR="00824535" w:rsidRDefault="00824535">
            <w:pPr>
              <w:rPr>
                <w:rFonts w:ascii="Times" w:hAnsi="Times"/>
                <w:color w:val="000000"/>
                <w:sz w:val="27"/>
                <w:szCs w:val="27"/>
              </w:rPr>
            </w:pPr>
          </w:p>
        </w:tc>
      </w:tr>
    </w:tbl>
    <w:p w14:paraId="1DBFD579"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78922A1" w14:textId="77777777" w:rsidTr="0082453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6FBCD2C5" w14:textId="77777777">
              <w:tc>
                <w:tcPr>
                  <w:tcW w:w="0" w:type="auto"/>
                  <w:hideMark/>
                </w:tcPr>
                <w:p w14:paraId="636D35FB" w14:textId="458FF8A2" w:rsidR="00824535" w:rsidRDefault="00824535">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01029AA" wp14:editId="20DC7C0E">
                        <wp:extent cx="6475730" cy="3638550"/>
                        <wp:effectExtent l="0" t="0" r="1270" b="635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39EEC1AF" w14:textId="77777777" w:rsidR="00824535" w:rsidRDefault="00824535">
            <w:pPr>
              <w:rPr>
                <w:rFonts w:ascii="Times" w:hAnsi="Times"/>
                <w:color w:val="000000"/>
                <w:sz w:val="27"/>
                <w:szCs w:val="27"/>
              </w:rPr>
            </w:pPr>
          </w:p>
        </w:tc>
      </w:tr>
    </w:tbl>
    <w:p w14:paraId="03023BFB"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2E9A4CA" w14:textId="77777777" w:rsidTr="0082453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24535" w14:paraId="7A32585C" w14:textId="77777777">
              <w:tc>
                <w:tcPr>
                  <w:tcW w:w="0" w:type="auto"/>
                  <w:vAlign w:val="center"/>
                  <w:hideMark/>
                </w:tcPr>
                <w:p w14:paraId="07C3B639" w14:textId="77777777" w:rsidR="00824535" w:rsidRDefault="00824535"/>
              </w:tc>
            </w:tr>
          </w:tbl>
          <w:p w14:paraId="7874C655" w14:textId="77777777" w:rsidR="00824535" w:rsidRDefault="00824535">
            <w:pPr>
              <w:rPr>
                <w:rFonts w:ascii="Times" w:hAnsi="Times"/>
                <w:color w:val="000000"/>
                <w:sz w:val="27"/>
                <w:szCs w:val="27"/>
              </w:rPr>
            </w:pPr>
          </w:p>
        </w:tc>
      </w:tr>
    </w:tbl>
    <w:p w14:paraId="4863A13D"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645993B0" w14:textId="77777777" w:rsidTr="0082453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7BABA6A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24535" w14:paraId="39F113DF" w14:textId="77777777">
                    <w:tc>
                      <w:tcPr>
                        <w:tcW w:w="0" w:type="auto"/>
                        <w:shd w:val="clear" w:color="auto" w:fill="4B6AA2"/>
                        <w:tcMar>
                          <w:top w:w="270" w:type="dxa"/>
                          <w:left w:w="270" w:type="dxa"/>
                          <w:bottom w:w="270" w:type="dxa"/>
                          <w:right w:w="270" w:type="dxa"/>
                        </w:tcMar>
                        <w:hideMark/>
                      </w:tcPr>
                      <w:p w14:paraId="312D826B" w14:textId="77777777" w:rsidR="00824535" w:rsidRDefault="00824535">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094130C" w14:textId="77777777" w:rsidR="00824535" w:rsidRDefault="00824535">
                  <w:pPr>
                    <w:rPr>
                      <w:rFonts w:ascii="Times New Roman" w:hAnsi="Times New Roman"/>
                    </w:rPr>
                  </w:pPr>
                </w:p>
              </w:tc>
            </w:tr>
          </w:tbl>
          <w:p w14:paraId="0326034F" w14:textId="77777777" w:rsidR="00824535" w:rsidRDefault="00824535">
            <w:pPr>
              <w:rPr>
                <w:rFonts w:ascii="Times" w:hAnsi="Times"/>
                <w:color w:val="000000"/>
                <w:sz w:val="27"/>
                <w:szCs w:val="27"/>
              </w:rPr>
            </w:pPr>
          </w:p>
        </w:tc>
      </w:tr>
    </w:tbl>
    <w:p w14:paraId="5B83A44D"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CE65AE8"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77B99D46" w14:textId="77777777">
              <w:tc>
                <w:tcPr>
                  <w:tcW w:w="0" w:type="auto"/>
                  <w:tcMar>
                    <w:top w:w="0" w:type="dxa"/>
                    <w:left w:w="270" w:type="dxa"/>
                    <w:bottom w:w="135" w:type="dxa"/>
                    <w:right w:w="270" w:type="dxa"/>
                  </w:tcMar>
                  <w:hideMark/>
                </w:tcPr>
                <w:p w14:paraId="6442F4E3" w14:textId="77777777" w:rsidR="00824535" w:rsidRDefault="00824535">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Australia's submarine capability, Colin Powell and COP26.</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26D38D74" w14:textId="77777777" w:rsidR="00824535" w:rsidRDefault="00824535">
            <w:pPr>
              <w:rPr>
                <w:rFonts w:ascii="Times" w:hAnsi="Times"/>
                <w:color w:val="000000"/>
                <w:sz w:val="27"/>
                <w:szCs w:val="27"/>
              </w:rPr>
            </w:pPr>
          </w:p>
        </w:tc>
      </w:tr>
    </w:tbl>
    <w:p w14:paraId="4C3A3FDC"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2F35A1F0"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253595F1" w14:textId="77777777">
              <w:tc>
                <w:tcPr>
                  <w:tcW w:w="0" w:type="auto"/>
                  <w:vAlign w:val="center"/>
                  <w:hideMark/>
                </w:tcPr>
                <w:p w14:paraId="71B0C2FF" w14:textId="77777777" w:rsidR="00824535" w:rsidRDefault="00824535"/>
              </w:tc>
            </w:tr>
          </w:tbl>
          <w:p w14:paraId="13C60835" w14:textId="77777777" w:rsidR="00824535" w:rsidRDefault="00824535">
            <w:pPr>
              <w:rPr>
                <w:rFonts w:ascii="Times" w:hAnsi="Times"/>
                <w:color w:val="000000"/>
                <w:sz w:val="27"/>
                <w:szCs w:val="27"/>
              </w:rPr>
            </w:pPr>
          </w:p>
        </w:tc>
      </w:tr>
    </w:tbl>
    <w:p w14:paraId="37922F02"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58183E63"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24535" w14:paraId="7FA8BCA2" w14:textId="77777777">
              <w:tc>
                <w:tcPr>
                  <w:tcW w:w="0" w:type="auto"/>
                  <w:tcMar>
                    <w:top w:w="0" w:type="dxa"/>
                    <w:left w:w="135" w:type="dxa"/>
                    <w:bottom w:w="135" w:type="dxa"/>
                    <w:right w:w="135" w:type="dxa"/>
                  </w:tcMar>
                  <w:hideMark/>
                </w:tcPr>
                <w:p w14:paraId="7E2229C1" w14:textId="622EA0EF" w:rsidR="00824535" w:rsidRDefault="00824535">
                  <w:r>
                    <w:lastRenderedPageBreak/>
                    <w:fldChar w:fldCharType="begin"/>
                  </w:r>
                  <w:r>
                    <w:instrText xml:space="preserve"> INCLUDEPICTURE "https://mcusercontent.com/0e9feb1606f1b4129a8b65828/images/8c8ea4e6-6f3c-bded-729e-48fe749de6d8.jpg" \* MERGEFORMATINET </w:instrText>
                  </w:r>
                  <w:r>
                    <w:fldChar w:fldCharType="separate"/>
                  </w:r>
                  <w:r>
                    <w:rPr>
                      <w:noProof/>
                    </w:rPr>
                    <w:drawing>
                      <wp:inline distT="0" distB="0" distL="0" distR="0" wp14:anchorId="371B4569" wp14:editId="2D384152">
                        <wp:extent cx="6475730" cy="4321810"/>
                        <wp:effectExtent l="0" t="0" r="1270" b="0"/>
                        <wp:docPr id="12" name="Picture 12"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at a podiu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21810"/>
                                </a:xfrm>
                                <a:prstGeom prst="rect">
                                  <a:avLst/>
                                </a:prstGeom>
                                <a:noFill/>
                                <a:ln>
                                  <a:noFill/>
                                </a:ln>
                              </pic:spPr>
                            </pic:pic>
                          </a:graphicData>
                        </a:graphic>
                      </wp:inline>
                    </w:drawing>
                  </w:r>
                  <w:r>
                    <w:fldChar w:fldCharType="end"/>
                  </w:r>
                </w:p>
              </w:tc>
            </w:tr>
            <w:tr w:rsidR="00824535" w14:paraId="69C66BFA" w14:textId="77777777">
              <w:tc>
                <w:tcPr>
                  <w:tcW w:w="8460" w:type="dxa"/>
                  <w:tcMar>
                    <w:top w:w="0" w:type="dxa"/>
                    <w:left w:w="135" w:type="dxa"/>
                    <w:bottom w:w="0" w:type="dxa"/>
                    <w:right w:w="135" w:type="dxa"/>
                  </w:tcMar>
                  <w:hideMark/>
                </w:tcPr>
                <w:p w14:paraId="075985DF" w14:textId="77777777" w:rsidR="00824535" w:rsidRDefault="00824535">
                  <w:pPr>
                    <w:pStyle w:val="NormalWeb"/>
                    <w:spacing w:before="150" w:beforeAutospacing="0" w:after="150" w:afterAutospacing="0" w:line="300" w:lineRule="atLeast"/>
                    <w:rPr>
                      <w:rFonts w:ascii="Verdana" w:hAnsi="Verdana"/>
                      <w:color w:val="000000"/>
                    </w:rPr>
                  </w:pPr>
                  <w:hyperlink r:id="rId8" w:tgtFrame="_blank" w:history="1">
                    <w:proofErr w:type="gramStart"/>
                    <w:r>
                      <w:rPr>
                        <w:rStyle w:val="Hyperlink"/>
                        <w:rFonts w:ascii="Helvetica Neue" w:hAnsi="Helvetica Neue"/>
                        <w:b/>
                        <w:bCs/>
                        <w:color w:val="4C6AA2"/>
                        <w:sz w:val="30"/>
                        <w:szCs w:val="30"/>
                      </w:rPr>
                      <w:t>200 Dimensional</w:t>
                    </w:r>
                    <w:proofErr w:type="gramEnd"/>
                    <w:r>
                      <w:rPr>
                        <w:rStyle w:val="Hyperlink"/>
                        <w:rFonts w:ascii="Helvetica Neue" w:hAnsi="Helvetica Neue"/>
                        <w:b/>
                        <w:bCs/>
                        <w:color w:val="4C6AA2"/>
                        <w:sz w:val="30"/>
                        <w:szCs w:val="30"/>
                      </w:rPr>
                      <w:t xml:space="preserve"> Chess: Making Sense of COP26</w:t>
                    </w:r>
                  </w:hyperlink>
                </w:p>
                <w:p w14:paraId="10716899" w14:textId="77777777" w:rsidR="00824535" w:rsidRDefault="00824535">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COP26, this year’s UN climate change conference, began last weekend in Glasgow. Arguably the most hotly anticipated diplomatic event of the year, the conference is like a </w:t>
                  </w:r>
                  <w:proofErr w:type="gramStart"/>
                  <w:r>
                    <w:rPr>
                      <w:rFonts w:ascii="Helvetica Neue" w:hAnsi="Helvetica Neue"/>
                      <w:color w:val="000000"/>
                      <w:sz w:val="18"/>
                      <w:szCs w:val="18"/>
                    </w:rPr>
                    <w:t>high stake</w:t>
                  </w:r>
                  <w:proofErr w:type="gramEnd"/>
                  <w:r>
                    <w:rPr>
                      <w:rFonts w:ascii="Helvetica Neue" w:hAnsi="Helvetica Neue"/>
                      <w:color w:val="000000"/>
                      <w:sz w:val="18"/>
                      <w:szCs w:val="18"/>
                    </w:rPr>
                    <w:t xml:space="preserve"> games of 200 dimensional chess. Every country in the world is manoeuvring around each other, business lobbies, activists, civil society, indigenous </w:t>
                  </w:r>
                  <w:proofErr w:type="gramStart"/>
                  <w:r>
                    <w:rPr>
                      <w:rFonts w:ascii="Helvetica Neue" w:hAnsi="Helvetica Neue"/>
                      <w:color w:val="000000"/>
                      <w:sz w:val="18"/>
                      <w:szCs w:val="18"/>
                    </w:rPr>
                    <w:t>peoples</w:t>
                  </w:r>
                  <w:proofErr w:type="gramEnd"/>
                  <w:r>
                    <w:rPr>
                      <w:rFonts w:ascii="Helvetica Neue" w:hAnsi="Helvetica Neue"/>
                      <w:color w:val="000000"/>
                      <w:sz w:val="18"/>
                      <w:szCs w:val="18"/>
                    </w:rPr>
                    <w:t xml:space="preserve"> and numerous other groups. But not only are there a huge number of players, there are a huge number of issues on the table. From carbon trading to green hydrogen, it is nearly impossible to track all of them. If you want an introduction to international environmental agreements I strongly recommend watching </w:t>
                  </w:r>
                  <w:hyperlink r:id="rId9" w:tgtFrame="_blank" w:history="1">
                    <w:r>
                      <w:rPr>
                        <w:rStyle w:val="Hyperlink"/>
                        <w:rFonts w:ascii="Helvetica Neue" w:hAnsi="Helvetica Neue"/>
                        <w:b/>
                        <w:bCs/>
                        <w:color w:val="4C6AA2"/>
                        <w:sz w:val="18"/>
                        <w:szCs w:val="18"/>
                      </w:rPr>
                      <w:t>our presentation</w:t>
                    </w:r>
                  </w:hyperlink>
                  <w:r>
                    <w:rPr>
                      <w:rFonts w:ascii="Helvetica Neue" w:hAnsi="Helvetica Neue"/>
                      <w:color w:val="000000"/>
                      <w:sz w:val="18"/>
                      <w:szCs w:val="18"/>
                    </w:rPr>
                    <w:t> with Professor Susan Park, broadcast last week, which analysed the effectiveness of international environmental agreements. If you are looking for more specific issues to track at the COP these are my three picks. </w:t>
                  </w:r>
                  <w:r>
                    <w:rPr>
                      <w:rFonts w:ascii="Helvetica Neue" w:hAnsi="Helvetica Neue"/>
                      <w:color w:val="000000"/>
                      <w:sz w:val="18"/>
                      <w:szCs w:val="18"/>
                    </w:rPr>
                    <w:br/>
                  </w:r>
                  <w:r>
                    <w:rPr>
                      <w:rFonts w:ascii="Helvetica Neue" w:hAnsi="Helvetica Neue"/>
                      <w:color w:val="000000"/>
                      <w:sz w:val="18"/>
                      <w:szCs w:val="18"/>
                    </w:rPr>
                    <w:br/>
                    <w:t>Firstly, </w:t>
                  </w:r>
                  <w:hyperlink r:id="rId10" w:tgtFrame="_blank" w:history="1">
                    <w:r>
                      <w:rPr>
                        <w:rStyle w:val="Hyperlink"/>
                        <w:rFonts w:ascii="Helvetica Neue" w:hAnsi="Helvetica Neue"/>
                        <w:b/>
                        <w:bCs/>
                        <w:color w:val="4C6AA2"/>
                        <w:sz w:val="18"/>
                        <w:szCs w:val="18"/>
                      </w:rPr>
                      <w:t>climate finance</w:t>
                    </w:r>
                  </w:hyperlink>
                  <w:r>
                    <w:rPr>
                      <w:rFonts w:ascii="Helvetica Neue" w:hAnsi="Helvetica Neue"/>
                      <w:color w:val="000000"/>
                      <w:sz w:val="18"/>
                      <w:szCs w:val="18"/>
                    </w:rPr>
                    <w:t xml:space="preserve"> will be a huge part of the conference. A global target of $100 billion to help developing nations transition to low carbon economies was agreed in 2009. It was meant to be met by last year, but that target was missed. This issue is a crucial bellwether for relations between developed and developing nations at the conference, though the BBC is reporting the target may not be met and a different agreement based around small groups of countries banding together to help </w:t>
                  </w:r>
                  <w:proofErr w:type="gramStart"/>
                  <w:r>
                    <w:rPr>
                      <w:rFonts w:ascii="Helvetica Neue" w:hAnsi="Helvetica Neue"/>
                      <w:color w:val="000000"/>
                      <w:sz w:val="18"/>
                      <w:szCs w:val="18"/>
                    </w:rPr>
                    <w:t>particular developing</w:t>
                  </w:r>
                  <w:proofErr w:type="gramEnd"/>
                  <w:r>
                    <w:rPr>
                      <w:rFonts w:ascii="Helvetica Neue" w:hAnsi="Helvetica Neue"/>
                      <w:color w:val="000000"/>
                      <w:sz w:val="18"/>
                      <w:szCs w:val="18"/>
                    </w:rPr>
                    <w:t xml:space="preserve"> economies transition may the eventual outcome.</w:t>
                  </w:r>
                  <w:r>
                    <w:rPr>
                      <w:rFonts w:ascii="Helvetica Neue" w:hAnsi="Helvetica Neue"/>
                      <w:color w:val="000000"/>
                      <w:sz w:val="18"/>
                      <w:szCs w:val="18"/>
                    </w:rPr>
                    <w:br/>
                  </w:r>
                  <w:r>
                    <w:rPr>
                      <w:rFonts w:ascii="Helvetica Neue" w:hAnsi="Helvetica Neue"/>
                      <w:color w:val="000000"/>
                      <w:sz w:val="18"/>
                      <w:szCs w:val="18"/>
                    </w:rPr>
                    <w:br/>
                    <w:t>Secondly, methane emissions are coming to the forefront. On Tuesday </w:t>
                  </w:r>
                  <w:hyperlink r:id="rId11" w:tgtFrame="_blank" w:history="1">
                    <w:r>
                      <w:rPr>
                        <w:rStyle w:val="Hyperlink"/>
                        <w:rFonts w:ascii="Helvetica Neue" w:hAnsi="Helvetica Neue"/>
                        <w:b/>
                        <w:bCs/>
                        <w:color w:val="4C6AA2"/>
                        <w:sz w:val="18"/>
                        <w:szCs w:val="18"/>
                      </w:rPr>
                      <w:t>104 countries agreed</w:t>
                    </w:r>
                  </w:hyperlink>
                  <w:r>
                    <w:rPr>
                      <w:rFonts w:ascii="Helvetica Neue" w:hAnsi="Helvetica Neue"/>
                      <w:color w:val="000000"/>
                      <w:sz w:val="18"/>
                      <w:szCs w:val="18"/>
                    </w:rPr>
                    <w:t> to reduce their methane emissions by 30% by 2030. Australia was notably absent from the list, but interestingly New Zealand, a country with a strong agricultural lobby, was amongst the signatories.</w:t>
                  </w:r>
                  <w:r>
                    <w:rPr>
                      <w:rFonts w:ascii="Helvetica Neue" w:hAnsi="Helvetica Neue"/>
                      <w:color w:val="000000"/>
                      <w:sz w:val="18"/>
                      <w:szCs w:val="18"/>
                    </w:rPr>
                    <w:br/>
                  </w:r>
                  <w:r>
                    <w:rPr>
                      <w:rFonts w:ascii="Helvetica Neue" w:hAnsi="Helvetica Neue"/>
                      <w:color w:val="000000"/>
                      <w:sz w:val="18"/>
                      <w:szCs w:val="18"/>
                    </w:rPr>
                    <w:br/>
                    <w:t xml:space="preserve">Thirdly, follow the High Ambition Coalition (HAC). The HAC was the dark horse of Paris, a group of countries that </w:t>
                  </w:r>
                  <w:r>
                    <w:rPr>
                      <w:rFonts w:ascii="Helvetica Neue" w:hAnsi="Helvetica Neue"/>
                      <w:color w:val="000000"/>
                      <w:sz w:val="18"/>
                      <w:szCs w:val="18"/>
                    </w:rPr>
                    <w:lastRenderedPageBreak/>
                    <w:t>coordinated their climate diplomacy before the conference but largely flew under the radar until they staged a dramatic intervention in the final days of COP21, galvanising support for the Agreement’s 1.5 degrees warming limit. Now </w:t>
                  </w:r>
                  <w:hyperlink r:id="rId12" w:tgtFrame="_blank" w:history="1">
                    <w:r>
                      <w:rPr>
                        <w:rStyle w:val="Hyperlink"/>
                        <w:rFonts w:ascii="Helvetica Neue" w:hAnsi="Helvetica Neue"/>
                        <w:b/>
                        <w:bCs/>
                        <w:color w:val="4C6AA2"/>
                        <w:sz w:val="18"/>
                        <w:szCs w:val="18"/>
                      </w:rPr>
                      <w:t xml:space="preserve">the US has </w:t>
                    </w:r>
                    <w:proofErr w:type="spellStart"/>
                    <w:r>
                      <w:rPr>
                        <w:rStyle w:val="Hyperlink"/>
                        <w:rFonts w:ascii="Helvetica Neue" w:hAnsi="Helvetica Neue"/>
                        <w:b/>
                        <w:bCs/>
                        <w:color w:val="4C6AA2"/>
                        <w:sz w:val="18"/>
                        <w:szCs w:val="18"/>
                      </w:rPr>
                      <w:t>rejoined</w:t>
                    </w:r>
                    <w:proofErr w:type="spellEnd"/>
                  </w:hyperlink>
                  <w:r>
                    <w:rPr>
                      <w:rFonts w:ascii="Helvetica Neue" w:hAnsi="Helvetica Neue"/>
                      <w:color w:val="000000"/>
                      <w:sz w:val="18"/>
                      <w:szCs w:val="18"/>
                    </w:rPr>
                    <w:t> the alliance, a major boost for their lobbying power. Can the HAC drive the conference to success again? </w:t>
                  </w:r>
                  <w:r>
                    <w:rPr>
                      <w:rFonts w:ascii="Verdana" w:hAnsi="Verdana"/>
                      <w:color w:val="000000"/>
                    </w:rPr>
                    <w:br/>
                  </w:r>
                  <w:r>
                    <w:rPr>
                      <w:rFonts w:ascii="Helvetica Neue" w:hAnsi="Helvetica Neue"/>
                      <w:color w:val="000000"/>
                      <w:sz w:val="17"/>
                      <w:szCs w:val="17"/>
                    </w:rPr>
                    <w:t>Image credit: </w:t>
                  </w:r>
                  <w:hyperlink r:id="rId13" w:tgtFrame="_blank" w:history="1">
                    <w:r>
                      <w:rPr>
                        <w:rStyle w:val="Hyperlink"/>
                        <w:rFonts w:ascii="Helvetica Neue" w:hAnsi="Helvetica Neue"/>
                        <w:b/>
                        <w:bCs/>
                        <w:color w:val="4C6AA2"/>
                        <w:sz w:val="17"/>
                        <w:szCs w:val="17"/>
                      </w:rPr>
                      <w:t>COP26</w:t>
                    </w:r>
                  </w:hyperlink>
                </w:p>
              </w:tc>
            </w:tr>
          </w:tbl>
          <w:p w14:paraId="7C295113" w14:textId="77777777" w:rsidR="00824535" w:rsidRDefault="00824535">
            <w:pPr>
              <w:rPr>
                <w:rFonts w:ascii="Times" w:hAnsi="Times"/>
                <w:color w:val="000000"/>
                <w:sz w:val="27"/>
                <w:szCs w:val="27"/>
              </w:rPr>
            </w:pPr>
          </w:p>
        </w:tc>
      </w:tr>
    </w:tbl>
    <w:p w14:paraId="351E38CD"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F85C4A4"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3DF86D3E" w14:textId="77777777">
              <w:tc>
                <w:tcPr>
                  <w:tcW w:w="0" w:type="auto"/>
                  <w:vAlign w:val="center"/>
                  <w:hideMark/>
                </w:tcPr>
                <w:p w14:paraId="6375EC55" w14:textId="77777777" w:rsidR="00824535" w:rsidRDefault="00824535"/>
              </w:tc>
            </w:tr>
          </w:tbl>
          <w:p w14:paraId="7E83C0BB" w14:textId="77777777" w:rsidR="00824535" w:rsidRDefault="00824535">
            <w:pPr>
              <w:rPr>
                <w:rFonts w:ascii="Times" w:hAnsi="Times"/>
                <w:color w:val="000000"/>
                <w:sz w:val="27"/>
                <w:szCs w:val="27"/>
              </w:rPr>
            </w:pPr>
          </w:p>
        </w:tc>
      </w:tr>
    </w:tbl>
    <w:p w14:paraId="69D5810C"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723B4A6"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15BE981F" w14:textId="77777777">
              <w:tc>
                <w:tcPr>
                  <w:tcW w:w="0" w:type="auto"/>
                  <w:tcMar>
                    <w:top w:w="0" w:type="dxa"/>
                    <w:left w:w="270" w:type="dxa"/>
                    <w:bottom w:w="135" w:type="dxa"/>
                    <w:right w:w="270" w:type="dxa"/>
                  </w:tcMar>
                  <w:hideMark/>
                </w:tcPr>
                <w:p w14:paraId="3EC48F69" w14:textId="77777777" w:rsidR="00824535" w:rsidRDefault="00824535">
                  <w:pPr>
                    <w:spacing w:line="360" w:lineRule="atLeast"/>
                    <w:rPr>
                      <w:rFonts w:ascii="Verdana" w:hAnsi="Verdana"/>
                      <w:color w:val="222222"/>
                    </w:rPr>
                  </w:pPr>
                  <w:r>
                    <w:rPr>
                      <w:rStyle w:val="Emphasis"/>
                      <w:rFonts w:ascii="Helvetica Neue" w:hAnsi="Helvetica Neue"/>
                      <w:color w:val="000000"/>
                      <w:sz w:val="17"/>
                      <w:szCs w:val="17"/>
                    </w:rPr>
                    <w:t>This article was contributed by </w:t>
                  </w:r>
                  <w:r>
                    <w:rPr>
                      <w:rStyle w:val="Emphasis"/>
                      <w:rFonts w:ascii="Helvetica Neue" w:hAnsi="Helvetica Neue"/>
                      <w:color w:val="222222"/>
                      <w:sz w:val="17"/>
                      <w:szCs w:val="17"/>
                    </w:rPr>
                    <w:t xml:space="preserve">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and was previously the Climate and Energy Security Fellow at Young Australians in International Affairs. Alex has served on the Council since 2019.</w:t>
                  </w:r>
                </w:p>
              </w:tc>
            </w:tr>
          </w:tbl>
          <w:p w14:paraId="4BDEA318" w14:textId="77777777" w:rsidR="00824535" w:rsidRDefault="00824535">
            <w:pPr>
              <w:rPr>
                <w:rFonts w:ascii="Times" w:hAnsi="Times"/>
                <w:color w:val="000000"/>
                <w:sz w:val="27"/>
                <w:szCs w:val="27"/>
              </w:rPr>
            </w:pPr>
          </w:p>
        </w:tc>
      </w:tr>
    </w:tbl>
    <w:p w14:paraId="6FD6117A"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717C216F"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2352A17B" w14:textId="77777777">
              <w:tc>
                <w:tcPr>
                  <w:tcW w:w="0" w:type="auto"/>
                  <w:vAlign w:val="center"/>
                  <w:hideMark/>
                </w:tcPr>
                <w:p w14:paraId="026978F9" w14:textId="77777777" w:rsidR="00824535" w:rsidRDefault="00824535"/>
              </w:tc>
            </w:tr>
          </w:tbl>
          <w:p w14:paraId="3409A7EE" w14:textId="77777777" w:rsidR="00824535" w:rsidRDefault="00824535">
            <w:pPr>
              <w:rPr>
                <w:rFonts w:ascii="Times" w:hAnsi="Times"/>
                <w:color w:val="000000"/>
                <w:sz w:val="27"/>
                <w:szCs w:val="27"/>
              </w:rPr>
            </w:pPr>
          </w:p>
        </w:tc>
      </w:tr>
    </w:tbl>
    <w:p w14:paraId="421BA692"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014B1DDC"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24535" w14:paraId="48E23A76" w14:textId="77777777">
              <w:tc>
                <w:tcPr>
                  <w:tcW w:w="0" w:type="auto"/>
                  <w:tcMar>
                    <w:top w:w="0" w:type="dxa"/>
                    <w:left w:w="135" w:type="dxa"/>
                    <w:bottom w:w="135" w:type="dxa"/>
                    <w:right w:w="135" w:type="dxa"/>
                  </w:tcMar>
                  <w:hideMark/>
                </w:tcPr>
                <w:p w14:paraId="39D203A2" w14:textId="30DC13CF" w:rsidR="00824535" w:rsidRDefault="00824535">
                  <w:r>
                    <w:fldChar w:fldCharType="begin"/>
                  </w:r>
                  <w:r>
                    <w:instrText xml:space="preserve"> INCLUDEPICTURE "https://mcusercontent.com/0e9feb1606f1b4129a8b65828/images/f1ce7f85-9d60-3563-5bf1-05edce69944a.jpg" \* MERGEFORMATINET </w:instrText>
                  </w:r>
                  <w:r>
                    <w:fldChar w:fldCharType="separate"/>
                  </w:r>
                  <w:r>
                    <w:rPr>
                      <w:noProof/>
                    </w:rPr>
                    <w:drawing>
                      <wp:inline distT="0" distB="0" distL="0" distR="0" wp14:anchorId="2C42A14A" wp14:editId="1F6CED66">
                        <wp:extent cx="6475730" cy="3806190"/>
                        <wp:effectExtent l="0" t="0" r="1270" b="3810"/>
                        <wp:docPr id="11" name="Picture 11" descr="A picture containing water, sky,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ter, sky, outdoor, boa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730" cy="3806190"/>
                                </a:xfrm>
                                <a:prstGeom prst="rect">
                                  <a:avLst/>
                                </a:prstGeom>
                                <a:noFill/>
                                <a:ln>
                                  <a:noFill/>
                                </a:ln>
                              </pic:spPr>
                            </pic:pic>
                          </a:graphicData>
                        </a:graphic>
                      </wp:inline>
                    </w:drawing>
                  </w:r>
                  <w:r>
                    <w:fldChar w:fldCharType="end"/>
                  </w:r>
                </w:p>
              </w:tc>
            </w:tr>
            <w:tr w:rsidR="00824535" w14:paraId="04CC41CE" w14:textId="77777777">
              <w:tc>
                <w:tcPr>
                  <w:tcW w:w="8445" w:type="dxa"/>
                  <w:tcMar>
                    <w:top w:w="0" w:type="dxa"/>
                    <w:left w:w="135" w:type="dxa"/>
                    <w:bottom w:w="0" w:type="dxa"/>
                    <w:right w:w="135" w:type="dxa"/>
                  </w:tcMar>
                  <w:hideMark/>
                </w:tcPr>
                <w:p w14:paraId="29E9AE30" w14:textId="77777777" w:rsidR="00824535" w:rsidRDefault="00824535">
                  <w:pPr>
                    <w:pStyle w:val="NormalWeb"/>
                    <w:spacing w:before="150" w:beforeAutospacing="0" w:after="150" w:afterAutospacing="0" w:line="300" w:lineRule="atLeast"/>
                    <w:rPr>
                      <w:rFonts w:ascii="Verdana" w:hAnsi="Verdana"/>
                      <w:color w:val="000000"/>
                    </w:rPr>
                  </w:pPr>
                  <w:hyperlink r:id="rId15" w:tgtFrame="_blank" w:history="1">
                    <w:r>
                      <w:rPr>
                        <w:rStyle w:val="Strong"/>
                        <w:rFonts w:ascii="Helvetica Neue" w:hAnsi="Helvetica Neue"/>
                        <w:color w:val="4C6AA2"/>
                        <w:sz w:val="30"/>
                        <w:szCs w:val="30"/>
                      </w:rPr>
                      <w:t>Don’t Count Your Submarines Before They’re Built</w:t>
                    </w:r>
                  </w:hyperlink>
                  <w:r>
                    <w:rPr>
                      <w:rFonts w:ascii="Verdana" w:hAnsi="Verdana"/>
                      <w:color w:val="000000"/>
                    </w:rPr>
                    <w:br/>
                  </w:r>
                  <w:r>
                    <w:rPr>
                      <w:rFonts w:ascii="Verdana" w:hAnsi="Verdana"/>
                      <w:color w:val="000000"/>
                    </w:rPr>
                    <w:br/>
                  </w:r>
                  <w:r>
                    <w:rPr>
                      <w:rFonts w:ascii="Helvetica Neue" w:hAnsi="Helvetica Neue"/>
                      <w:color w:val="000000"/>
                      <w:sz w:val="18"/>
                      <w:szCs w:val="18"/>
                    </w:rPr>
                    <w:t>According to Erik Sand (Assistant Professor at the US Naval War College), AUKUS serves three purposes for the United States: first, it is a strong signal that the US wants to solidify an even closer relationship with Australia; second, it serves as an inducement to get greater cooperation from Australia; and third, it holds the potential to make Australia a more capable ally. But Sand also cautions that technology-sharing agreements often fail to deliver in practice: bureaucracies, powerful interests, and politics can all intervene to turn an announcement of technology transfer into something more resembling an arms deal. </w:t>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Eric McCarthy</w:t>
                    </w:r>
                  </w:hyperlink>
                </w:p>
              </w:tc>
            </w:tr>
          </w:tbl>
          <w:p w14:paraId="2B053190" w14:textId="77777777" w:rsidR="00824535" w:rsidRDefault="00824535">
            <w:pPr>
              <w:rPr>
                <w:rFonts w:ascii="Times" w:hAnsi="Times"/>
                <w:color w:val="000000"/>
                <w:sz w:val="27"/>
                <w:szCs w:val="27"/>
              </w:rPr>
            </w:pPr>
          </w:p>
        </w:tc>
      </w:tr>
    </w:tbl>
    <w:p w14:paraId="39C52B68"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ED974F7"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2E72678C" w14:textId="77777777">
              <w:tc>
                <w:tcPr>
                  <w:tcW w:w="0" w:type="auto"/>
                  <w:vAlign w:val="center"/>
                  <w:hideMark/>
                </w:tcPr>
                <w:p w14:paraId="5C1F0E3F" w14:textId="77777777" w:rsidR="00824535" w:rsidRDefault="00824535"/>
              </w:tc>
            </w:tr>
          </w:tbl>
          <w:p w14:paraId="75FB2578" w14:textId="77777777" w:rsidR="00824535" w:rsidRDefault="00824535">
            <w:pPr>
              <w:rPr>
                <w:rFonts w:ascii="Times" w:hAnsi="Times"/>
                <w:color w:val="000000"/>
                <w:sz w:val="27"/>
                <w:szCs w:val="27"/>
              </w:rPr>
            </w:pPr>
          </w:p>
        </w:tc>
      </w:tr>
    </w:tbl>
    <w:p w14:paraId="3768F1AF"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2205AEC3"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24535" w14:paraId="110DE1B0" w14:textId="77777777">
              <w:tc>
                <w:tcPr>
                  <w:tcW w:w="0" w:type="auto"/>
                  <w:tcMar>
                    <w:top w:w="0" w:type="dxa"/>
                    <w:left w:w="135" w:type="dxa"/>
                    <w:bottom w:w="135" w:type="dxa"/>
                    <w:right w:w="135" w:type="dxa"/>
                  </w:tcMar>
                  <w:hideMark/>
                </w:tcPr>
                <w:p w14:paraId="500CAB21" w14:textId="5554BEC2" w:rsidR="00824535" w:rsidRDefault="00824535">
                  <w:r>
                    <w:lastRenderedPageBreak/>
                    <w:fldChar w:fldCharType="begin"/>
                  </w:r>
                  <w:r>
                    <w:instrText xml:space="preserve"> INCLUDEPICTURE "https://mcusercontent.com/0e9feb1606f1b4129a8b65828/images/23d260bb-541e-f1a0-ad3e-3ebb85e8a1b7.jpg" \* MERGEFORMATINET </w:instrText>
                  </w:r>
                  <w:r>
                    <w:fldChar w:fldCharType="separate"/>
                  </w:r>
                  <w:r>
                    <w:rPr>
                      <w:noProof/>
                    </w:rPr>
                    <w:drawing>
                      <wp:inline distT="0" distB="0" distL="0" distR="0" wp14:anchorId="13326D0D" wp14:editId="2B3CC4C0">
                        <wp:extent cx="6475730" cy="4326255"/>
                        <wp:effectExtent l="0" t="0" r="1270" b="4445"/>
                        <wp:docPr id="10" name="Picture 10" descr="A person standing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 crowd of peop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4326255"/>
                                </a:xfrm>
                                <a:prstGeom prst="rect">
                                  <a:avLst/>
                                </a:prstGeom>
                                <a:noFill/>
                                <a:ln>
                                  <a:noFill/>
                                </a:ln>
                              </pic:spPr>
                            </pic:pic>
                          </a:graphicData>
                        </a:graphic>
                      </wp:inline>
                    </w:drawing>
                  </w:r>
                  <w:r>
                    <w:fldChar w:fldCharType="end"/>
                  </w:r>
                </w:p>
              </w:tc>
            </w:tr>
            <w:tr w:rsidR="00824535" w14:paraId="4ABDFAAA" w14:textId="77777777">
              <w:tc>
                <w:tcPr>
                  <w:tcW w:w="8445" w:type="dxa"/>
                  <w:tcMar>
                    <w:top w:w="0" w:type="dxa"/>
                    <w:left w:w="135" w:type="dxa"/>
                    <w:bottom w:w="0" w:type="dxa"/>
                    <w:right w:w="135" w:type="dxa"/>
                  </w:tcMar>
                  <w:hideMark/>
                </w:tcPr>
                <w:p w14:paraId="5C97E877" w14:textId="77777777" w:rsidR="00824535" w:rsidRDefault="00824535">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C6AA2"/>
                        <w:sz w:val="30"/>
                        <w:szCs w:val="30"/>
                      </w:rPr>
                      <w:t>Colin Powell, the Humble American</w:t>
                    </w:r>
                  </w:hyperlink>
                  <w:r>
                    <w:rPr>
                      <w:rFonts w:ascii="Verdana" w:hAnsi="Verdana"/>
                      <w:color w:val="000000"/>
                    </w:rPr>
                    <w:br/>
                  </w:r>
                  <w:r>
                    <w:rPr>
                      <w:rFonts w:ascii="Verdana" w:hAnsi="Verdana"/>
                      <w:color w:val="000000"/>
                    </w:rPr>
                    <w:br/>
                  </w:r>
                  <w:r>
                    <w:rPr>
                      <w:rFonts w:ascii="Helvetica Neue" w:hAnsi="Helvetica Neue"/>
                      <w:color w:val="000000"/>
                      <w:sz w:val="18"/>
                      <w:szCs w:val="18"/>
                    </w:rPr>
                    <w:t>Reflecting on the recent passing of former US Secretary of State Colin Powell, American writer Robin Wright says Powell may be remembered for overcoming the odds of a disadvantaged background; crafting the ‘Powell military doctrine’ ahead of the first Iraq War; or his own acknowledged failings in the context of the second Iraq War. But for those who knew him, Wright says he’ll be remembered for his decent humanity and humour, traits that added depth to his diplomacy as US Secretary of State. Having personified the American Dream, Powell also had an unflinching optimism about America. Wright’s hope is that, ultimately, Powell might be proved right.</w:t>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 xml:space="preserve">Scott </w:t>
                    </w:r>
                    <w:proofErr w:type="spellStart"/>
                    <w:r>
                      <w:rPr>
                        <w:rStyle w:val="Hyperlink"/>
                        <w:rFonts w:ascii="Helvetica Neue" w:hAnsi="Helvetica Neue"/>
                        <w:b/>
                        <w:bCs/>
                        <w:color w:val="4C6AA2"/>
                        <w:sz w:val="17"/>
                        <w:szCs w:val="17"/>
                      </w:rPr>
                      <w:t>Ableman</w:t>
                    </w:r>
                    <w:proofErr w:type="spellEnd"/>
                  </w:hyperlink>
                </w:p>
              </w:tc>
            </w:tr>
          </w:tbl>
          <w:p w14:paraId="75463900" w14:textId="77777777" w:rsidR="00824535" w:rsidRDefault="00824535">
            <w:pPr>
              <w:rPr>
                <w:rFonts w:ascii="Times" w:hAnsi="Times"/>
                <w:color w:val="000000"/>
                <w:sz w:val="27"/>
                <w:szCs w:val="27"/>
              </w:rPr>
            </w:pPr>
          </w:p>
        </w:tc>
      </w:tr>
    </w:tbl>
    <w:p w14:paraId="4F0E28C2"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F58236F" w14:textId="77777777" w:rsidTr="0082453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24535" w14:paraId="1259DE12" w14:textId="77777777">
              <w:tc>
                <w:tcPr>
                  <w:tcW w:w="0" w:type="auto"/>
                  <w:vAlign w:val="center"/>
                  <w:hideMark/>
                </w:tcPr>
                <w:p w14:paraId="6D3E83F9" w14:textId="77777777" w:rsidR="00824535" w:rsidRDefault="00824535"/>
              </w:tc>
            </w:tr>
          </w:tbl>
          <w:p w14:paraId="1CA920B3" w14:textId="77777777" w:rsidR="00824535" w:rsidRDefault="00824535">
            <w:pPr>
              <w:rPr>
                <w:rFonts w:ascii="Times" w:hAnsi="Times"/>
                <w:color w:val="000000"/>
                <w:sz w:val="27"/>
                <w:szCs w:val="27"/>
              </w:rPr>
            </w:pPr>
          </w:p>
        </w:tc>
      </w:tr>
    </w:tbl>
    <w:p w14:paraId="135419D7"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040A7325" w14:textId="77777777" w:rsidTr="0082453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728B9F4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24535" w14:paraId="1214EBCF" w14:textId="77777777">
                    <w:tc>
                      <w:tcPr>
                        <w:tcW w:w="0" w:type="auto"/>
                        <w:shd w:val="clear" w:color="auto" w:fill="4B6AA2"/>
                        <w:tcMar>
                          <w:top w:w="270" w:type="dxa"/>
                          <w:left w:w="270" w:type="dxa"/>
                          <w:bottom w:w="270" w:type="dxa"/>
                          <w:right w:w="270" w:type="dxa"/>
                        </w:tcMar>
                        <w:hideMark/>
                      </w:tcPr>
                      <w:p w14:paraId="1C700FA5" w14:textId="77777777" w:rsidR="00824535" w:rsidRDefault="00824535">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7A726E3" w14:textId="77777777" w:rsidR="00824535" w:rsidRDefault="00824535">
                  <w:pPr>
                    <w:rPr>
                      <w:rFonts w:ascii="Times New Roman" w:hAnsi="Times New Roman"/>
                    </w:rPr>
                  </w:pPr>
                </w:p>
              </w:tc>
            </w:tr>
          </w:tbl>
          <w:p w14:paraId="7169D482" w14:textId="77777777" w:rsidR="00824535" w:rsidRDefault="00824535">
            <w:pPr>
              <w:rPr>
                <w:rFonts w:ascii="Times" w:hAnsi="Times"/>
                <w:color w:val="000000"/>
                <w:sz w:val="27"/>
                <w:szCs w:val="27"/>
              </w:rPr>
            </w:pPr>
          </w:p>
        </w:tc>
      </w:tr>
    </w:tbl>
    <w:p w14:paraId="1FF005EB"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008AB08F"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1EFCB163" w14:textId="77777777">
              <w:tc>
                <w:tcPr>
                  <w:tcW w:w="0" w:type="auto"/>
                  <w:tcMar>
                    <w:top w:w="0" w:type="dxa"/>
                    <w:left w:w="270" w:type="dxa"/>
                    <w:bottom w:w="135" w:type="dxa"/>
                    <w:right w:w="270" w:type="dxa"/>
                  </w:tcMar>
                  <w:hideMark/>
                </w:tcPr>
                <w:p w14:paraId="561FDA0B" w14:textId="77777777" w:rsidR="00824535" w:rsidRDefault="00824535">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Niki Beri and Grace Bui discuss the UN's human rights investigation into Tigray and Taiwan's vaccine diplomacy.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our interns are their own. The Australian Institute of International Affairs New South Wales does not take policy positions.</w:t>
                  </w:r>
                </w:p>
              </w:tc>
            </w:tr>
          </w:tbl>
          <w:p w14:paraId="5F2DF130" w14:textId="77777777" w:rsidR="00824535" w:rsidRDefault="00824535">
            <w:pPr>
              <w:rPr>
                <w:rFonts w:ascii="Times" w:hAnsi="Times"/>
                <w:color w:val="000000"/>
                <w:sz w:val="27"/>
                <w:szCs w:val="27"/>
              </w:rPr>
            </w:pPr>
          </w:p>
        </w:tc>
      </w:tr>
    </w:tbl>
    <w:p w14:paraId="63A40390"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64309B2"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22F43A26" w14:textId="77777777">
              <w:tc>
                <w:tcPr>
                  <w:tcW w:w="0" w:type="auto"/>
                  <w:vAlign w:val="center"/>
                  <w:hideMark/>
                </w:tcPr>
                <w:p w14:paraId="26298C33" w14:textId="77777777" w:rsidR="00824535" w:rsidRDefault="00824535"/>
              </w:tc>
            </w:tr>
          </w:tbl>
          <w:p w14:paraId="0E67916F" w14:textId="77777777" w:rsidR="00824535" w:rsidRDefault="00824535">
            <w:pPr>
              <w:rPr>
                <w:rFonts w:ascii="Times" w:hAnsi="Times"/>
                <w:color w:val="000000"/>
                <w:sz w:val="27"/>
                <w:szCs w:val="27"/>
              </w:rPr>
            </w:pPr>
          </w:p>
        </w:tc>
      </w:tr>
    </w:tbl>
    <w:p w14:paraId="44D7B83F"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263414C1"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24535" w14:paraId="5A104442" w14:textId="77777777">
              <w:tc>
                <w:tcPr>
                  <w:tcW w:w="0" w:type="auto"/>
                  <w:tcMar>
                    <w:top w:w="0" w:type="dxa"/>
                    <w:left w:w="135" w:type="dxa"/>
                    <w:bottom w:w="135" w:type="dxa"/>
                    <w:right w:w="135" w:type="dxa"/>
                  </w:tcMar>
                  <w:hideMark/>
                </w:tcPr>
                <w:p w14:paraId="22C426C6" w14:textId="28509B3E" w:rsidR="00824535" w:rsidRDefault="00824535">
                  <w:pPr>
                    <w:jc w:val="right"/>
                  </w:pPr>
                  <w:r>
                    <w:fldChar w:fldCharType="begin"/>
                  </w:r>
                  <w:r>
                    <w:instrText xml:space="preserve"> INCLUDEPICTURE "https://mcusercontent.com/0e9feb1606f1b4129a8b65828/_compresseds/d40dae24-7088-fec9-2668-a2573e2e044f.jpg" \* MERGEFORMATINET </w:instrText>
                  </w:r>
                  <w:r>
                    <w:fldChar w:fldCharType="separate"/>
                  </w:r>
                  <w:r>
                    <w:rPr>
                      <w:noProof/>
                    </w:rPr>
                    <w:drawing>
                      <wp:inline distT="0" distB="0" distL="0" distR="0" wp14:anchorId="108E450C" wp14:editId="67BF1334">
                        <wp:extent cx="6475730" cy="4173855"/>
                        <wp:effectExtent l="0" t="0" r="1270" b="4445"/>
                        <wp:docPr id="9" name="Picture 9"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5730" cy="4173855"/>
                                </a:xfrm>
                                <a:prstGeom prst="rect">
                                  <a:avLst/>
                                </a:prstGeom>
                                <a:noFill/>
                                <a:ln>
                                  <a:noFill/>
                                </a:ln>
                              </pic:spPr>
                            </pic:pic>
                          </a:graphicData>
                        </a:graphic>
                      </wp:inline>
                    </w:drawing>
                  </w:r>
                  <w:r>
                    <w:fldChar w:fldCharType="end"/>
                  </w:r>
                </w:p>
              </w:tc>
            </w:tr>
            <w:tr w:rsidR="00824535" w14:paraId="769AEC79" w14:textId="77777777">
              <w:tc>
                <w:tcPr>
                  <w:tcW w:w="8460" w:type="dxa"/>
                  <w:tcMar>
                    <w:top w:w="0" w:type="dxa"/>
                    <w:left w:w="135" w:type="dxa"/>
                    <w:bottom w:w="0" w:type="dxa"/>
                    <w:right w:w="135" w:type="dxa"/>
                  </w:tcMar>
                  <w:hideMark/>
                </w:tcPr>
                <w:p w14:paraId="3D177902" w14:textId="77777777" w:rsidR="00824535" w:rsidRDefault="00824535">
                  <w:pPr>
                    <w:pStyle w:val="Heading1"/>
                    <w:spacing w:before="0" w:beforeAutospacing="0" w:after="0" w:afterAutospacing="0" w:line="488" w:lineRule="atLeast"/>
                    <w:rPr>
                      <w:rFonts w:ascii="Arial" w:hAnsi="Arial" w:cs="Arial"/>
                      <w:color w:val="4C6AA2"/>
                      <w:spacing w:val="-15"/>
                      <w:sz w:val="39"/>
                      <w:szCs w:val="39"/>
                    </w:rPr>
                  </w:pPr>
                  <w:hyperlink r:id="rId21" w:tgtFrame="_blank" w:history="1">
                    <w:r>
                      <w:rPr>
                        <w:rStyle w:val="Hyperlink"/>
                        <w:rFonts w:ascii="Arial" w:hAnsi="Arial" w:cs="Arial"/>
                        <w:color w:val="4C6AA2"/>
                        <w:spacing w:val="-15"/>
                        <w:sz w:val="36"/>
                        <w:szCs w:val="36"/>
                      </w:rPr>
                      <w:t>Objectivity concerns over UN’s report on Tigray civil war</w:t>
                    </w:r>
                  </w:hyperlink>
                </w:p>
                <w:p w14:paraId="488A242F" w14:textId="77777777" w:rsidR="00824535" w:rsidRDefault="00824535">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 xml:space="preserve">The international human rights investigation into the brutal civil war in Ethiopia’s Tigray province is due to be released almost exactly a year after the conflict began. Though the UN inquiry has been inhibited by the conflict in the region, this will be the most authoritative overview of the war to date. The current conflict in Ethiopia is between the Tigray People's Liberation Front (TPLF) and Ethiopian national forces. The involvement of the Ethiopian Human Rights Commission (EHRC) has left Tigrayan leaders sceptical about the investigation’s independence. The report only documents the period from November 2020 to June 2021, when the TPLF recaptured Mekelle, the province’s capital. Additionally, last month, the EHRC expelled seven senior UN officials, including the human rights officer. Some officials involved in the investigation have said that the head of the EHRC focuses on the Tigray forces’ </w:t>
                  </w:r>
                  <w:proofErr w:type="gramStart"/>
                  <w:r>
                    <w:rPr>
                      <w:rFonts w:ascii="Helvetica Neue" w:hAnsi="Helvetica Neue"/>
                      <w:color w:val="222222"/>
                      <w:sz w:val="18"/>
                      <w:szCs w:val="18"/>
                    </w:rPr>
                    <w:t>abuses, and</w:t>
                  </w:r>
                  <w:proofErr w:type="gramEnd"/>
                  <w:r>
                    <w:rPr>
                      <w:rFonts w:ascii="Helvetica Neue" w:hAnsi="Helvetica Neue"/>
                      <w:color w:val="222222"/>
                      <w:sz w:val="18"/>
                      <w:szCs w:val="18"/>
                    </w:rPr>
                    <w:t xml:space="preserve"> underplays certain allegations against national forces in the report. In response the UN has stated that the Ethiopian Government has no power over the publication of the report, but they were given the chance to read it beforehand for any inaccuracies. </w:t>
                  </w:r>
                  <w:r>
                    <w:rPr>
                      <w:rFonts w:ascii="Verdana" w:hAnsi="Verdana"/>
                      <w:color w:val="222222"/>
                    </w:rPr>
                    <w:br/>
                  </w:r>
                  <w:r>
                    <w:rPr>
                      <w:rFonts w:ascii="Helvetica Neue" w:hAnsi="Helvetica Neue"/>
                      <w:color w:val="222222"/>
                      <w:sz w:val="17"/>
                      <w:szCs w:val="17"/>
                    </w:rPr>
                    <w:t>Image Credit: </w:t>
                  </w:r>
                  <w:hyperlink r:id="rId22" w:tgtFrame="_blank" w:history="1">
                    <w:r>
                      <w:rPr>
                        <w:rStyle w:val="Hyperlink"/>
                        <w:rFonts w:ascii="Helvetica Neue" w:hAnsi="Helvetica Neue"/>
                        <w:b/>
                        <w:bCs/>
                        <w:color w:val="4C6AA2"/>
                        <w:sz w:val="17"/>
                        <w:szCs w:val="17"/>
                      </w:rPr>
                      <w:t>Faces Of The World </w:t>
                    </w:r>
                  </w:hyperlink>
                  <w:r>
                    <w:rPr>
                      <w:rFonts w:ascii="Verdana" w:hAnsi="Verdana"/>
                      <w:color w:val="222222"/>
                    </w:rPr>
                    <w:br/>
                    <w:t> </w:t>
                  </w:r>
                </w:p>
              </w:tc>
            </w:tr>
          </w:tbl>
          <w:p w14:paraId="306ED026" w14:textId="77777777" w:rsidR="00824535" w:rsidRDefault="00824535">
            <w:pPr>
              <w:rPr>
                <w:rFonts w:ascii="Times" w:hAnsi="Times"/>
                <w:color w:val="000000"/>
                <w:sz w:val="27"/>
                <w:szCs w:val="27"/>
              </w:rPr>
            </w:pPr>
          </w:p>
        </w:tc>
      </w:tr>
    </w:tbl>
    <w:p w14:paraId="370CE683"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2A4CAD5E"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205CDB2C" w14:textId="77777777">
              <w:tc>
                <w:tcPr>
                  <w:tcW w:w="0" w:type="auto"/>
                  <w:vAlign w:val="center"/>
                  <w:hideMark/>
                </w:tcPr>
                <w:p w14:paraId="04F4047D" w14:textId="77777777" w:rsidR="00824535" w:rsidRDefault="00824535"/>
              </w:tc>
            </w:tr>
          </w:tbl>
          <w:p w14:paraId="2550DD76" w14:textId="77777777" w:rsidR="00824535" w:rsidRDefault="00824535">
            <w:pPr>
              <w:rPr>
                <w:rFonts w:ascii="Times" w:hAnsi="Times"/>
                <w:color w:val="000000"/>
                <w:sz w:val="27"/>
                <w:szCs w:val="27"/>
              </w:rPr>
            </w:pPr>
          </w:p>
        </w:tc>
      </w:tr>
    </w:tbl>
    <w:p w14:paraId="5AA3BD26"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44C443F3"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421DC9CB" w14:textId="77777777">
              <w:tc>
                <w:tcPr>
                  <w:tcW w:w="0" w:type="auto"/>
                  <w:tcMar>
                    <w:top w:w="0" w:type="dxa"/>
                    <w:left w:w="270" w:type="dxa"/>
                    <w:bottom w:w="135" w:type="dxa"/>
                    <w:right w:w="270" w:type="dxa"/>
                  </w:tcMar>
                  <w:hideMark/>
                </w:tcPr>
                <w:p w14:paraId="569C3804" w14:textId="77777777" w:rsidR="00824535" w:rsidRDefault="00824535">
                  <w:pPr>
                    <w:spacing w:line="360" w:lineRule="atLeast"/>
                    <w:rPr>
                      <w:rFonts w:ascii="Arial" w:hAnsi="Arial" w:cs="Arial"/>
                      <w:color w:val="000000"/>
                    </w:rPr>
                  </w:pPr>
                  <w:r>
                    <w:rPr>
                      <w:rStyle w:val="Emphasis"/>
                      <w:rFonts w:ascii="Arial" w:hAnsi="Arial" w:cs="Arial"/>
                      <w:color w:val="000000"/>
                      <w:sz w:val="17"/>
                      <w:szCs w:val="17"/>
                    </w:rPr>
                    <w:lastRenderedPageBreak/>
                    <w:t xml:space="preserve">This article was selected by Niki Beri. Niki is a fourth-year student at the University of Sydney, studying a Bachelor of Arts / Bachelor of Advanced Studies (Politics and International Relations, Music). She is currently a Parliamentary Liaison at </w:t>
                  </w:r>
                  <w:proofErr w:type="spellStart"/>
                  <w:r>
                    <w:rPr>
                      <w:rStyle w:val="Emphasis"/>
                      <w:rFonts w:ascii="Arial" w:hAnsi="Arial" w:cs="Arial"/>
                      <w:color w:val="000000"/>
                      <w:sz w:val="17"/>
                      <w:szCs w:val="17"/>
                    </w:rPr>
                    <w:t>Jasiri</w:t>
                  </w:r>
                  <w:proofErr w:type="spellEnd"/>
                  <w:r>
                    <w:rPr>
                      <w:rStyle w:val="Emphasis"/>
                      <w:rFonts w:ascii="Arial" w:hAnsi="Arial" w:cs="Arial"/>
                      <w:color w:val="000000"/>
                      <w:sz w:val="17"/>
                      <w:szCs w:val="17"/>
                    </w:rPr>
                    <w:t xml:space="preserve"> Australia, facilitating the NSW Girls Takeover Parliament program and Secretary of the Sutherland Shire Chuo Sister City Association. Through her studies she has developed a keen interest in human rights, ethnic conflict and women’s issues and rights.</w:t>
                  </w:r>
                </w:p>
              </w:tc>
            </w:tr>
          </w:tbl>
          <w:p w14:paraId="0BD35082" w14:textId="77777777" w:rsidR="00824535" w:rsidRDefault="00824535">
            <w:pPr>
              <w:rPr>
                <w:rFonts w:ascii="Times" w:hAnsi="Times" w:cs="Times New Roman"/>
                <w:color w:val="000000"/>
                <w:sz w:val="27"/>
                <w:szCs w:val="27"/>
              </w:rPr>
            </w:pPr>
          </w:p>
        </w:tc>
      </w:tr>
    </w:tbl>
    <w:p w14:paraId="386F8803"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43647D19"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04390350" w14:textId="77777777">
              <w:tc>
                <w:tcPr>
                  <w:tcW w:w="0" w:type="auto"/>
                  <w:vAlign w:val="center"/>
                  <w:hideMark/>
                </w:tcPr>
                <w:p w14:paraId="29C1A08D" w14:textId="77777777" w:rsidR="00824535" w:rsidRDefault="00824535"/>
              </w:tc>
            </w:tr>
          </w:tbl>
          <w:p w14:paraId="1A40CF7C" w14:textId="77777777" w:rsidR="00824535" w:rsidRDefault="00824535">
            <w:pPr>
              <w:rPr>
                <w:rFonts w:ascii="Times" w:hAnsi="Times"/>
                <w:color w:val="000000"/>
                <w:sz w:val="27"/>
                <w:szCs w:val="27"/>
              </w:rPr>
            </w:pPr>
          </w:p>
        </w:tc>
      </w:tr>
    </w:tbl>
    <w:p w14:paraId="011FF2A4"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9CDF4C8" w14:textId="77777777" w:rsidTr="0082453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24535" w14:paraId="0458E97B" w14:textId="77777777">
              <w:tc>
                <w:tcPr>
                  <w:tcW w:w="0" w:type="auto"/>
                  <w:tcMar>
                    <w:top w:w="0" w:type="dxa"/>
                    <w:left w:w="135" w:type="dxa"/>
                    <w:bottom w:w="135" w:type="dxa"/>
                    <w:right w:w="135" w:type="dxa"/>
                  </w:tcMar>
                  <w:hideMark/>
                </w:tcPr>
                <w:p w14:paraId="41AC26CA" w14:textId="68F7D6F7" w:rsidR="00824535" w:rsidRDefault="00824535">
                  <w:r>
                    <w:rPr>
                      <w:noProof/>
                      <w:color w:val="0000FF"/>
                    </w:rPr>
                    <w:drawing>
                      <wp:inline distT="0" distB="0" distL="0" distR="0" wp14:anchorId="3CFB8F1D" wp14:editId="361544A9">
                        <wp:extent cx="6475730" cy="3815080"/>
                        <wp:effectExtent l="0" t="0" r="1270" b="0"/>
                        <wp:docPr id="8" name="Picture 8" descr="A dentist examining a patient&#10;&#10;Description automatically generated with low confidence">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entist examining a patient&#10;&#10;Description automatically generated with low confidence">
                                  <a:hlinkClick r:id="rId23" tgtFrame="&quot;_blank&quot;" tooltip="&quot;&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5730" cy="3815080"/>
                                </a:xfrm>
                                <a:prstGeom prst="rect">
                                  <a:avLst/>
                                </a:prstGeom>
                                <a:noFill/>
                                <a:ln>
                                  <a:noFill/>
                                </a:ln>
                              </pic:spPr>
                            </pic:pic>
                          </a:graphicData>
                        </a:graphic>
                      </wp:inline>
                    </w:drawing>
                  </w:r>
                </w:p>
              </w:tc>
            </w:tr>
            <w:tr w:rsidR="00824535" w14:paraId="5A6704D8" w14:textId="77777777">
              <w:tc>
                <w:tcPr>
                  <w:tcW w:w="8460" w:type="dxa"/>
                  <w:tcMar>
                    <w:top w:w="0" w:type="dxa"/>
                    <w:left w:w="135" w:type="dxa"/>
                    <w:bottom w:w="0" w:type="dxa"/>
                    <w:right w:w="135" w:type="dxa"/>
                  </w:tcMar>
                  <w:hideMark/>
                </w:tcPr>
                <w:p w14:paraId="6201C74F" w14:textId="77777777" w:rsidR="00824535" w:rsidRDefault="00824535">
                  <w:pPr>
                    <w:pStyle w:val="Heading1"/>
                    <w:spacing w:before="0" w:beforeAutospacing="0" w:after="0" w:afterAutospacing="0" w:line="488" w:lineRule="atLeast"/>
                    <w:rPr>
                      <w:rFonts w:ascii="Arial" w:hAnsi="Arial" w:cs="Arial"/>
                      <w:color w:val="4C6AA2"/>
                      <w:spacing w:val="-15"/>
                      <w:sz w:val="39"/>
                      <w:szCs w:val="39"/>
                    </w:rPr>
                  </w:pPr>
                  <w:hyperlink r:id="rId25" w:tgtFrame="_blank" w:history="1">
                    <w:r>
                      <w:rPr>
                        <w:rStyle w:val="Strong"/>
                        <w:rFonts w:ascii="Arial" w:hAnsi="Arial" w:cs="Arial"/>
                        <w:b/>
                        <w:bCs/>
                        <w:color w:val="4C6AA2"/>
                        <w:spacing w:val="-15"/>
                        <w:sz w:val="30"/>
                        <w:szCs w:val="30"/>
                      </w:rPr>
                      <w:t>Exporting Taiwan’s COVID-19 success to Vietnam</w:t>
                    </w:r>
                  </w:hyperlink>
                </w:p>
                <w:p w14:paraId="7948014E" w14:textId="77777777" w:rsidR="00824535" w:rsidRDefault="00824535">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 xml:space="preserve">Taiwan’s continued COVID-19 success offers the country an opportunity to exert its influence in Asia. From a sudden surge of more than 400 cases in late May, the country brought the number down to just seven at the end of September and even recorded zero case for the first time in 193 days on 19 October 2021. Huynh Tam Sang and Phan </w:t>
                  </w:r>
                  <w:proofErr w:type="gramStart"/>
                  <w:r>
                    <w:rPr>
                      <w:rFonts w:ascii="Helvetica Neue" w:hAnsi="Helvetica Neue"/>
                      <w:color w:val="000000"/>
                      <w:sz w:val="18"/>
                      <w:szCs w:val="18"/>
                    </w:rPr>
                    <w:t>Van</w:t>
                  </w:r>
                  <w:proofErr w:type="gramEnd"/>
                  <w:r>
                    <w:rPr>
                      <w:rFonts w:ascii="Helvetica Neue" w:hAnsi="Helvetica Neue"/>
                      <w:color w:val="000000"/>
                      <w:sz w:val="18"/>
                      <w:szCs w:val="18"/>
                    </w:rPr>
                    <w:t xml:space="preserve"> Tim argue that the successful response to the Delta variant has provided a stronger basis for Taiwan’s </w:t>
                  </w:r>
                  <w:hyperlink r:id="rId26" w:history="1">
                    <w:r>
                      <w:rPr>
                        <w:rStyle w:val="Hyperlink"/>
                        <w:rFonts w:ascii="Helvetica Neue" w:hAnsi="Helvetica Neue"/>
                        <w:b/>
                        <w:bCs/>
                        <w:color w:val="4C6AA2"/>
                        <w:sz w:val="18"/>
                        <w:szCs w:val="18"/>
                      </w:rPr>
                      <w:t>renewed international assistance agenda</w:t>
                    </w:r>
                  </w:hyperlink>
                  <w:r>
                    <w:rPr>
                      <w:rFonts w:ascii="Helvetica Neue" w:hAnsi="Helvetica Neue"/>
                      <w:color w:val="000000"/>
                      <w:sz w:val="18"/>
                      <w:szCs w:val="18"/>
                    </w:rPr>
                    <w:t> to leverage its status in the international community. Taiwan can be seen to utilize the immediate strengths it has gained through controlling COVID-19 to support other Asian countries that are suffering from the pandemic and are in desperate need of vaccines – like Vietnam – to counter the increasing pressure from Beijing and expand its diplomatic network. By exporting its medical and healthcare assistance, especially its newly-developed homegrown vaccine, Taiwan can elevate the bilateral relationship with Vietnam through the </w:t>
                  </w:r>
                  <w:hyperlink r:id="rId27" w:history="1">
                    <w:r>
                      <w:rPr>
                        <w:rStyle w:val="Hyperlink"/>
                        <w:rFonts w:ascii="Helvetica Neue" w:hAnsi="Helvetica Neue"/>
                        <w:b/>
                        <w:bCs/>
                        <w:color w:val="4C6AA2"/>
                        <w:sz w:val="18"/>
                        <w:szCs w:val="18"/>
                      </w:rPr>
                      <w:t xml:space="preserve">One Country, One </w:t>
                    </w:r>
                    <w:proofErr w:type="spellStart"/>
                    <w:r>
                      <w:rPr>
                        <w:rStyle w:val="Hyperlink"/>
                        <w:rFonts w:ascii="Helvetica Neue" w:hAnsi="Helvetica Neue"/>
                        <w:b/>
                        <w:bCs/>
                        <w:color w:val="4C6AA2"/>
                        <w:sz w:val="18"/>
                        <w:szCs w:val="18"/>
                      </w:rPr>
                      <w:t>Center</w:t>
                    </w:r>
                    <w:proofErr w:type="spellEnd"/>
                  </w:hyperlink>
                  <w:r>
                    <w:rPr>
                      <w:rFonts w:ascii="Helvetica Neue" w:hAnsi="Helvetica Neue"/>
                      <w:color w:val="000000"/>
                      <w:sz w:val="18"/>
                      <w:szCs w:val="18"/>
                    </w:rPr>
                    <w:t> mechanism. Vaccine diplomacy is considered central to this mechanism, and to gain success with it, Taiwan must, first, vaccinate its own population; and second, cooperate with Vietnam in a calm and quiet way to avoid irritating China.</w:t>
                  </w:r>
                  <w:r>
                    <w:rPr>
                      <w:rFonts w:ascii="Verdana" w:hAnsi="Verdana"/>
                      <w:color w:val="000000"/>
                    </w:rPr>
                    <w:br/>
                  </w:r>
                  <w:r>
                    <w:rPr>
                      <w:rFonts w:ascii="Helvetica Neue" w:hAnsi="Helvetica Neue"/>
                      <w:color w:val="000000"/>
                      <w:sz w:val="17"/>
                      <w:szCs w:val="17"/>
                    </w:rPr>
                    <w:t>Image credit: </w:t>
                  </w:r>
                  <w:hyperlink r:id="rId28" w:tgtFrame="_blank" w:history="1">
                    <w:r>
                      <w:rPr>
                        <w:rStyle w:val="Hyperlink"/>
                        <w:rFonts w:ascii="Helvetica Neue" w:hAnsi="Helvetica Neue"/>
                        <w:b/>
                        <w:bCs/>
                        <w:color w:val="4C6AA2"/>
                        <w:sz w:val="17"/>
                        <w:szCs w:val="17"/>
                      </w:rPr>
                      <w:t>Wikimedia Commons</w:t>
                    </w:r>
                  </w:hyperlink>
                </w:p>
              </w:tc>
            </w:tr>
          </w:tbl>
          <w:p w14:paraId="3D31C7E2" w14:textId="77777777" w:rsidR="00824535" w:rsidRDefault="00824535">
            <w:pPr>
              <w:rPr>
                <w:rFonts w:ascii="Times" w:hAnsi="Times"/>
                <w:color w:val="000000"/>
                <w:sz w:val="27"/>
                <w:szCs w:val="27"/>
              </w:rPr>
            </w:pPr>
          </w:p>
        </w:tc>
      </w:tr>
    </w:tbl>
    <w:p w14:paraId="2D3461AB"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688C44CC"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32CB5BFC" w14:textId="77777777">
              <w:tc>
                <w:tcPr>
                  <w:tcW w:w="0" w:type="auto"/>
                  <w:vAlign w:val="center"/>
                  <w:hideMark/>
                </w:tcPr>
                <w:p w14:paraId="4D939BC3" w14:textId="77777777" w:rsidR="00824535" w:rsidRDefault="00824535"/>
              </w:tc>
            </w:tr>
          </w:tbl>
          <w:p w14:paraId="3E94ABB6" w14:textId="77777777" w:rsidR="00824535" w:rsidRDefault="00824535">
            <w:pPr>
              <w:rPr>
                <w:rFonts w:ascii="Times" w:hAnsi="Times"/>
                <w:color w:val="000000"/>
                <w:sz w:val="27"/>
                <w:szCs w:val="27"/>
              </w:rPr>
            </w:pPr>
          </w:p>
        </w:tc>
      </w:tr>
    </w:tbl>
    <w:p w14:paraId="68384496"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41C8C86"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53494E33" w14:textId="77777777">
              <w:tc>
                <w:tcPr>
                  <w:tcW w:w="0" w:type="auto"/>
                  <w:tcMar>
                    <w:top w:w="0" w:type="dxa"/>
                    <w:left w:w="270" w:type="dxa"/>
                    <w:bottom w:w="135" w:type="dxa"/>
                    <w:right w:w="270" w:type="dxa"/>
                  </w:tcMar>
                  <w:hideMark/>
                </w:tcPr>
                <w:p w14:paraId="51AC1FB5" w14:textId="77777777" w:rsidR="00824535" w:rsidRDefault="00824535">
                  <w:pPr>
                    <w:spacing w:line="360" w:lineRule="atLeast"/>
                    <w:rPr>
                      <w:rFonts w:ascii="Verdana" w:hAnsi="Verdana"/>
                      <w:color w:val="000000"/>
                    </w:rPr>
                  </w:pPr>
                  <w:r>
                    <w:rPr>
                      <w:rStyle w:val="Emphasis"/>
                      <w:rFonts w:ascii="Helvetica Neue" w:hAnsi="Helvetica Neue"/>
                      <w:color w:val="000000"/>
                      <w:sz w:val="17"/>
                      <w:szCs w:val="17"/>
                    </w:rPr>
                    <w:lastRenderedPageBreak/>
                    <w:t xml:space="preserve">This article was selected by Grace Bui. Grace is currently completing a Bachelor of International Studies and Bachelor of Communications and Media Studies, writing her honours thesis on public diplomacy. She was an editor for Frontier and an International aid and development intern at </w:t>
                  </w:r>
                  <w:proofErr w:type="spellStart"/>
                  <w:r>
                    <w:rPr>
                      <w:rStyle w:val="Emphasis"/>
                      <w:rFonts w:ascii="Helvetica Neue" w:hAnsi="Helvetica Neue"/>
                      <w:color w:val="000000"/>
                      <w:sz w:val="17"/>
                      <w:szCs w:val="17"/>
                    </w:rPr>
                    <w:t>DevDAS</w:t>
                  </w:r>
                  <w:proofErr w:type="spellEnd"/>
                  <w:r>
                    <w:rPr>
                      <w:rStyle w:val="Emphasis"/>
                      <w:rFonts w:ascii="Helvetica Neue" w:hAnsi="Helvetica Neue"/>
                      <w:color w:val="000000"/>
                      <w:sz w:val="17"/>
                      <w:szCs w:val="17"/>
                    </w:rPr>
                    <w:t xml:space="preserve"> Australia. Her research interests include the public diplomacy programs of small and middle powers, and Australian and Pacific Island politics. </w:t>
                  </w:r>
                </w:p>
              </w:tc>
            </w:tr>
          </w:tbl>
          <w:p w14:paraId="3E49E680" w14:textId="77777777" w:rsidR="00824535" w:rsidRDefault="00824535">
            <w:pPr>
              <w:rPr>
                <w:rFonts w:ascii="Times" w:hAnsi="Times"/>
                <w:color w:val="000000"/>
                <w:sz w:val="27"/>
                <w:szCs w:val="27"/>
              </w:rPr>
            </w:pPr>
          </w:p>
        </w:tc>
      </w:tr>
    </w:tbl>
    <w:p w14:paraId="4647CA38"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5408CACE" w14:textId="77777777" w:rsidTr="0082453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24535" w14:paraId="7DD818BC" w14:textId="77777777">
              <w:tc>
                <w:tcPr>
                  <w:tcW w:w="0" w:type="auto"/>
                  <w:vAlign w:val="center"/>
                  <w:hideMark/>
                </w:tcPr>
                <w:p w14:paraId="4B25A281" w14:textId="77777777" w:rsidR="00824535" w:rsidRDefault="00824535"/>
              </w:tc>
            </w:tr>
          </w:tbl>
          <w:p w14:paraId="6639D762" w14:textId="77777777" w:rsidR="00824535" w:rsidRDefault="00824535">
            <w:pPr>
              <w:rPr>
                <w:rFonts w:ascii="Times" w:hAnsi="Times"/>
                <w:color w:val="000000"/>
                <w:sz w:val="27"/>
                <w:szCs w:val="27"/>
              </w:rPr>
            </w:pPr>
          </w:p>
        </w:tc>
      </w:tr>
    </w:tbl>
    <w:p w14:paraId="70591281"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60DF39AC" w14:textId="77777777" w:rsidTr="0082453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32B9679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24535" w14:paraId="289421B3" w14:textId="77777777">
                    <w:tc>
                      <w:tcPr>
                        <w:tcW w:w="0" w:type="auto"/>
                        <w:shd w:val="clear" w:color="auto" w:fill="4B6AA2"/>
                        <w:tcMar>
                          <w:top w:w="270" w:type="dxa"/>
                          <w:left w:w="270" w:type="dxa"/>
                          <w:bottom w:w="270" w:type="dxa"/>
                          <w:right w:w="270" w:type="dxa"/>
                        </w:tcMar>
                        <w:hideMark/>
                      </w:tcPr>
                      <w:p w14:paraId="2427DE9E" w14:textId="77777777" w:rsidR="00824535" w:rsidRDefault="0082453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5DDA2BF" w14:textId="77777777" w:rsidR="00824535" w:rsidRDefault="00824535">
                  <w:pPr>
                    <w:rPr>
                      <w:rFonts w:ascii="Times New Roman" w:hAnsi="Times New Roman"/>
                    </w:rPr>
                  </w:pPr>
                </w:p>
              </w:tc>
            </w:tr>
          </w:tbl>
          <w:p w14:paraId="0DC88692" w14:textId="77777777" w:rsidR="00824535" w:rsidRDefault="00824535">
            <w:pPr>
              <w:rPr>
                <w:rFonts w:ascii="Times" w:hAnsi="Times"/>
                <w:color w:val="000000"/>
                <w:sz w:val="27"/>
                <w:szCs w:val="27"/>
              </w:rPr>
            </w:pPr>
          </w:p>
        </w:tc>
      </w:tr>
    </w:tbl>
    <w:p w14:paraId="6EB462E2"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EBE5C8C"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5251BA18" w14:textId="77777777">
              <w:tc>
                <w:tcPr>
                  <w:tcW w:w="0" w:type="auto"/>
                  <w:tcMar>
                    <w:top w:w="0" w:type="dxa"/>
                    <w:left w:w="270" w:type="dxa"/>
                    <w:bottom w:w="135" w:type="dxa"/>
                    <w:right w:w="270" w:type="dxa"/>
                  </w:tcMar>
                  <w:hideMark/>
                </w:tcPr>
                <w:p w14:paraId="19426B6B" w14:textId="77777777" w:rsidR="00824535" w:rsidRDefault="00824535" w:rsidP="00824535">
                  <w:pPr>
                    <w:numPr>
                      <w:ilvl w:val="0"/>
                      <w:numId w:val="44"/>
                    </w:numPr>
                    <w:spacing w:before="100" w:beforeAutospacing="1" w:after="75" w:line="360" w:lineRule="atLeast"/>
                    <w:rPr>
                      <w:rFonts w:ascii="Verdana" w:hAnsi="Verdana"/>
                      <w:color w:val="000000"/>
                    </w:rPr>
                  </w:pPr>
                  <w:r>
                    <w:rPr>
                      <w:rFonts w:ascii="Helvetica Neue" w:hAnsi="Helvetica Neue"/>
                      <w:color w:val="000000"/>
                      <w:sz w:val="18"/>
                      <w:szCs w:val="18"/>
                    </w:rPr>
                    <w:t>Bevan Shields and David Crowe, in </w:t>
                  </w:r>
                  <w:r>
                    <w:rPr>
                      <w:rStyle w:val="Emphasis"/>
                      <w:rFonts w:ascii="Helvetica Neue" w:hAnsi="Helvetica Neue"/>
                      <w:color w:val="000000"/>
                      <w:sz w:val="18"/>
                      <w:szCs w:val="18"/>
                    </w:rPr>
                    <w:t>The Sydney Morning Herald, </w:t>
                  </w:r>
                  <w:hyperlink r:id="rId29" w:tgtFrame="_blank" w:history="1">
                    <w:r>
                      <w:rPr>
                        <w:rStyle w:val="Hyperlink"/>
                        <w:rFonts w:ascii="Helvetica Neue" w:hAnsi="Helvetica Neue"/>
                        <w:b/>
                        <w:bCs/>
                        <w:color w:val="4C6AA2"/>
                        <w:sz w:val="18"/>
                        <w:szCs w:val="18"/>
                      </w:rPr>
                      <w:t>report </w:t>
                    </w:r>
                  </w:hyperlink>
                  <w:r>
                    <w:rPr>
                      <w:rFonts w:ascii="Verdana" w:hAnsi="Verdana"/>
                      <w:color w:val="000000"/>
                      <w:sz w:val="18"/>
                      <w:szCs w:val="18"/>
                    </w:rPr>
                    <w:t>on the diplomatic </w:t>
                  </w:r>
                  <w:r>
                    <w:rPr>
                      <w:rFonts w:ascii="Helvetica Neue" w:hAnsi="Helvetica Neue"/>
                      <w:color w:val="000000"/>
                      <w:sz w:val="18"/>
                      <w:szCs w:val="18"/>
                    </w:rPr>
                    <w:t>tensions between France and Australia.</w:t>
                  </w:r>
                </w:p>
                <w:p w14:paraId="241FB054" w14:textId="77777777" w:rsidR="00824535" w:rsidRDefault="00824535" w:rsidP="00824535">
                  <w:pPr>
                    <w:numPr>
                      <w:ilvl w:val="0"/>
                      <w:numId w:val="44"/>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Guardian, </w:t>
                  </w:r>
                  <w:r>
                    <w:rPr>
                      <w:rFonts w:ascii="Helvetica Neue" w:hAnsi="Helvetica Neue"/>
                      <w:color w:val="000000"/>
                      <w:sz w:val="18"/>
                      <w:szCs w:val="18"/>
                    </w:rPr>
                    <w:t>Damian Carrington </w:t>
                  </w:r>
                  <w:hyperlink r:id="rId30" w:tgtFrame="_blank" w:history="1">
                    <w:r>
                      <w:rPr>
                        <w:rStyle w:val="Strong"/>
                        <w:rFonts w:ascii="Helvetica Neue" w:hAnsi="Helvetica Neue"/>
                        <w:color w:val="4C6AA2"/>
                        <w:sz w:val="18"/>
                        <w:szCs w:val="18"/>
                      </w:rPr>
                      <w:t>writes </w:t>
                    </w:r>
                  </w:hyperlink>
                  <w:r>
                    <w:rPr>
                      <w:rFonts w:ascii="Helvetica Neue" w:hAnsi="Helvetica Neue"/>
                      <w:color w:val="000000"/>
                      <w:sz w:val="18"/>
                      <w:szCs w:val="18"/>
                    </w:rPr>
                    <w:t>that major participants at COP26 (including Australia) have agreed to promote green technologies and provide finance.</w:t>
                  </w:r>
                </w:p>
                <w:p w14:paraId="6EBC52CA" w14:textId="77777777" w:rsidR="00824535" w:rsidRDefault="00824535" w:rsidP="00824535">
                  <w:pPr>
                    <w:numPr>
                      <w:ilvl w:val="0"/>
                      <w:numId w:val="44"/>
                    </w:numPr>
                    <w:spacing w:before="100" w:beforeAutospacing="1" w:after="75" w:line="360" w:lineRule="atLeast"/>
                    <w:rPr>
                      <w:rFonts w:ascii="Verdana" w:hAnsi="Verdana"/>
                      <w:color w:val="000000"/>
                    </w:rPr>
                  </w:pPr>
                  <w:r>
                    <w:rPr>
                      <w:rFonts w:ascii="Helvetica Neue" w:hAnsi="Helvetica Neue"/>
                      <w:color w:val="000000"/>
                      <w:sz w:val="18"/>
                      <w:szCs w:val="18"/>
                    </w:rPr>
                    <w:t>Catherine Early in</w:t>
                  </w:r>
                  <w:r>
                    <w:rPr>
                      <w:rStyle w:val="Emphasis"/>
                      <w:rFonts w:ascii="Helvetica Neue" w:hAnsi="Helvetica Neue"/>
                      <w:color w:val="000000"/>
                      <w:sz w:val="18"/>
                      <w:szCs w:val="18"/>
                    </w:rPr>
                    <w:t> BBC News</w:t>
                  </w:r>
                  <w:r>
                    <w:rPr>
                      <w:rFonts w:ascii="Helvetica Neue" w:hAnsi="Helvetica Neue"/>
                      <w:color w:val="000000"/>
                      <w:sz w:val="18"/>
                      <w:szCs w:val="18"/>
                    </w:rPr>
                    <w:t> </w:t>
                  </w:r>
                  <w:hyperlink r:id="rId31" w:tgtFrame="_blank" w:history="1">
                    <w:r>
                      <w:rPr>
                        <w:rStyle w:val="Strong"/>
                        <w:rFonts w:ascii="Helvetica Neue" w:hAnsi="Helvetica Neue"/>
                        <w:color w:val="4C6AA2"/>
                        <w:sz w:val="18"/>
                        <w:szCs w:val="18"/>
                      </w:rPr>
                      <w:t>discusses</w:t>
                    </w:r>
                  </w:hyperlink>
                  <w:r>
                    <w:rPr>
                      <w:rFonts w:ascii="Helvetica Neue" w:hAnsi="Helvetica Neue"/>
                      <w:color w:val="000000"/>
                      <w:sz w:val="18"/>
                      <w:szCs w:val="18"/>
                    </w:rPr>
                    <w:t> China's global role in financing coal-fired power plants; President Xi’s announced reduced Chinese funding at the UN General Assembly.  </w:t>
                  </w:r>
                </w:p>
                <w:p w14:paraId="49C10C23" w14:textId="77777777" w:rsidR="00824535" w:rsidRDefault="00824535" w:rsidP="00824535">
                  <w:pPr>
                    <w:numPr>
                      <w:ilvl w:val="0"/>
                      <w:numId w:val="44"/>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The Diplomat</w:t>
                  </w:r>
                  <w:r>
                    <w:rPr>
                      <w:rFonts w:ascii="Helvetica Neue" w:hAnsi="Helvetica Neue"/>
                      <w:color w:val="000000"/>
                      <w:sz w:val="18"/>
                      <w:szCs w:val="18"/>
                    </w:rPr>
                    <w:t xml:space="preserve">'s </w:t>
                  </w:r>
                  <w:proofErr w:type="spellStart"/>
                  <w:r>
                    <w:rPr>
                      <w:rFonts w:ascii="Helvetica Neue" w:hAnsi="Helvetica Neue"/>
                      <w:color w:val="000000"/>
                      <w:sz w:val="18"/>
                      <w:szCs w:val="18"/>
                    </w:rPr>
                    <w:t>Anrike</w:t>
                  </w:r>
                  <w:proofErr w:type="spellEnd"/>
                  <w:r>
                    <w:rPr>
                      <w:rFonts w:ascii="Helvetica Neue" w:hAnsi="Helvetica Neue"/>
                      <w:color w:val="000000"/>
                      <w:sz w:val="18"/>
                      <w:szCs w:val="18"/>
                    </w:rPr>
                    <w:t xml:space="preserve"> Visser </w:t>
                  </w:r>
                  <w:hyperlink r:id="rId32" w:tgtFrame="_blank" w:history="1">
                    <w:proofErr w:type="gramStart"/>
                    <w:r>
                      <w:rPr>
                        <w:rStyle w:val="Hyperlink"/>
                        <w:rFonts w:ascii="Helvetica Neue" w:hAnsi="Helvetica Neue"/>
                        <w:b/>
                        <w:bCs/>
                        <w:color w:val="4C6AA2"/>
                        <w:sz w:val="18"/>
                        <w:szCs w:val="18"/>
                      </w:rPr>
                      <w:t>looks into</w:t>
                    </w:r>
                    <w:proofErr w:type="gramEnd"/>
                  </w:hyperlink>
                  <w:r>
                    <w:rPr>
                      <w:rFonts w:ascii="Helvetica Neue" w:hAnsi="Helvetica Neue"/>
                      <w:color w:val="000000"/>
                      <w:sz w:val="18"/>
                      <w:szCs w:val="18"/>
                    </w:rPr>
                    <w:t> how the IMF's COVID-19 relief funding to Myanmar has disappeared. </w:t>
                  </w:r>
                </w:p>
                <w:p w14:paraId="0DFB8531" w14:textId="77777777" w:rsidR="00824535" w:rsidRDefault="00824535" w:rsidP="00824535">
                  <w:pPr>
                    <w:numPr>
                      <w:ilvl w:val="0"/>
                      <w:numId w:val="44"/>
                    </w:numPr>
                    <w:spacing w:before="100" w:beforeAutospacing="1" w:after="75" w:line="360" w:lineRule="atLeast"/>
                    <w:rPr>
                      <w:rFonts w:ascii="Verdana" w:hAnsi="Verdana"/>
                      <w:color w:val="000000"/>
                    </w:rPr>
                  </w:pPr>
                  <w:r>
                    <w:rPr>
                      <w:rFonts w:ascii="Helvetica Neue" w:hAnsi="Helvetica Neue"/>
                      <w:color w:val="000000"/>
                      <w:sz w:val="18"/>
                      <w:szCs w:val="18"/>
                    </w:rPr>
                    <w:t>Cleo Smith from </w:t>
                  </w:r>
                  <w:r>
                    <w:rPr>
                      <w:rStyle w:val="Emphasis"/>
                      <w:rFonts w:ascii="Helvetica Neue" w:hAnsi="Helvetica Neue"/>
                      <w:color w:val="000000"/>
                      <w:sz w:val="18"/>
                      <w:szCs w:val="18"/>
                    </w:rPr>
                    <w:t>the ABC News</w:t>
                  </w:r>
                  <w:r>
                    <w:rPr>
                      <w:rFonts w:ascii="Helvetica Neue" w:hAnsi="Helvetica Neue"/>
                      <w:color w:val="000000"/>
                      <w:sz w:val="18"/>
                      <w:szCs w:val="18"/>
                    </w:rPr>
                    <w:t> </w:t>
                  </w:r>
                  <w:hyperlink r:id="rId33" w:tgtFrame="_blank" w:history="1">
                    <w:r>
                      <w:rPr>
                        <w:rStyle w:val="Hyperlink"/>
                        <w:rFonts w:ascii="Helvetica Neue" w:hAnsi="Helvetica Neue"/>
                        <w:b/>
                        <w:bCs/>
                        <w:color w:val="4C6AA2"/>
                        <w:sz w:val="18"/>
                        <w:szCs w:val="18"/>
                      </w:rPr>
                      <w:t>examines</w:t>
                    </w:r>
                  </w:hyperlink>
                  <w:r>
                    <w:rPr>
                      <w:rFonts w:ascii="Helvetica Neue" w:hAnsi="Helvetica Neue"/>
                      <w:color w:val="000000"/>
                      <w:sz w:val="18"/>
                      <w:szCs w:val="18"/>
                    </w:rPr>
                    <w:t> the potential of Australia in fulfilling its climate change goals. </w:t>
                  </w:r>
                </w:p>
                <w:p w14:paraId="0531608D" w14:textId="77777777" w:rsidR="00824535" w:rsidRDefault="00824535" w:rsidP="00824535">
                  <w:pPr>
                    <w:numPr>
                      <w:ilvl w:val="0"/>
                      <w:numId w:val="44"/>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Al Jazeera</w:t>
                  </w:r>
                  <w:r>
                    <w:rPr>
                      <w:rFonts w:ascii="Helvetica Neue" w:hAnsi="Helvetica Neue"/>
                      <w:color w:val="000000"/>
                      <w:sz w:val="18"/>
                      <w:szCs w:val="18"/>
                    </w:rPr>
                    <w:t> </w:t>
                  </w:r>
                  <w:hyperlink r:id="rId34" w:tgtFrame="_blank" w:history="1">
                    <w:r>
                      <w:rPr>
                        <w:rStyle w:val="Hyperlink"/>
                        <w:rFonts w:ascii="Helvetica Neue" w:hAnsi="Helvetica Neue"/>
                        <w:b/>
                        <w:bCs/>
                        <w:color w:val="4C6AA2"/>
                        <w:sz w:val="18"/>
                        <w:szCs w:val="18"/>
                      </w:rPr>
                      <w:t>reports on </w:t>
                    </w:r>
                  </w:hyperlink>
                  <w:r>
                    <w:rPr>
                      <w:rFonts w:ascii="Helvetica Neue" w:hAnsi="Helvetica Neue"/>
                      <w:color w:val="000000"/>
                      <w:sz w:val="18"/>
                      <w:szCs w:val="18"/>
                    </w:rPr>
                    <w:t>the UN findings of a worsening humanitarian crisis in Ethiopia. </w:t>
                  </w:r>
                </w:p>
              </w:tc>
            </w:tr>
          </w:tbl>
          <w:p w14:paraId="245CFF64" w14:textId="77777777" w:rsidR="00824535" w:rsidRDefault="00824535">
            <w:pPr>
              <w:rPr>
                <w:rFonts w:ascii="Times" w:hAnsi="Times"/>
                <w:color w:val="000000"/>
                <w:sz w:val="27"/>
                <w:szCs w:val="27"/>
              </w:rPr>
            </w:pPr>
          </w:p>
        </w:tc>
      </w:tr>
    </w:tbl>
    <w:p w14:paraId="07F129B3"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724FDF8D" w14:textId="77777777" w:rsidTr="0082453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24535" w14:paraId="352083FC" w14:textId="77777777">
              <w:tc>
                <w:tcPr>
                  <w:tcW w:w="0" w:type="auto"/>
                  <w:vAlign w:val="center"/>
                  <w:hideMark/>
                </w:tcPr>
                <w:p w14:paraId="49D96C67" w14:textId="77777777" w:rsidR="00824535" w:rsidRDefault="00824535"/>
              </w:tc>
            </w:tr>
          </w:tbl>
          <w:p w14:paraId="3B7428D9" w14:textId="77777777" w:rsidR="00824535" w:rsidRDefault="00824535">
            <w:pPr>
              <w:rPr>
                <w:rFonts w:ascii="Times" w:hAnsi="Times"/>
                <w:color w:val="000000"/>
                <w:sz w:val="27"/>
                <w:szCs w:val="27"/>
              </w:rPr>
            </w:pPr>
          </w:p>
        </w:tc>
      </w:tr>
    </w:tbl>
    <w:p w14:paraId="7D401270"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56FEFE1" w14:textId="77777777" w:rsidTr="0082453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6742B85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24535" w14:paraId="746839A4" w14:textId="77777777">
                    <w:tc>
                      <w:tcPr>
                        <w:tcW w:w="0" w:type="auto"/>
                        <w:shd w:val="clear" w:color="auto" w:fill="4B6AA2"/>
                        <w:tcMar>
                          <w:top w:w="270" w:type="dxa"/>
                          <w:left w:w="270" w:type="dxa"/>
                          <w:bottom w:w="270" w:type="dxa"/>
                          <w:right w:w="270" w:type="dxa"/>
                        </w:tcMar>
                        <w:hideMark/>
                      </w:tcPr>
                      <w:p w14:paraId="1E105A63" w14:textId="77777777" w:rsidR="00824535" w:rsidRDefault="0082453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D7832D3" w14:textId="77777777" w:rsidR="00824535" w:rsidRDefault="00824535">
                  <w:pPr>
                    <w:rPr>
                      <w:rFonts w:ascii="Times New Roman" w:hAnsi="Times New Roman"/>
                    </w:rPr>
                  </w:pPr>
                </w:p>
              </w:tc>
            </w:tr>
          </w:tbl>
          <w:p w14:paraId="05A7E7B0" w14:textId="77777777" w:rsidR="00824535" w:rsidRDefault="00824535">
            <w:pPr>
              <w:rPr>
                <w:rFonts w:ascii="Times" w:hAnsi="Times"/>
                <w:color w:val="000000"/>
                <w:sz w:val="27"/>
                <w:szCs w:val="27"/>
              </w:rPr>
            </w:pPr>
          </w:p>
        </w:tc>
      </w:tr>
    </w:tbl>
    <w:p w14:paraId="02525346"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70E01995"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69A93C55" w14:textId="77777777">
              <w:tc>
                <w:tcPr>
                  <w:tcW w:w="0" w:type="auto"/>
                  <w:vAlign w:val="center"/>
                  <w:hideMark/>
                </w:tcPr>
                <w:p w14:paraId="2B515150" w14:textId="77777777" w:rsidR="00824535" w:rsidRDefault="00824535"/>
              </w:tc>
            </w:tr>
          </w:tbl>
          <w:p w14:paraId="1C7C8AA8" w14:textId="77777777" w:rsidR="00824535" w:rsidRDefault="00824535">
            <w:pPr>
              <w:rPr>
                <w:rFonts w:ascii="Times" w:hAnsi="Times"/>
                <w:color w:val="000000"/>
                <w:sz w:val="27"/>
                <w:szCs w:val="27"/>
              </w:rPr>
            </w:pPr>
          </w:p>
        </w:tc>
      </w:tr>
    </w:tbl>
    <w:p w14:paraId="60425F10"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36989EB0"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2D7F1656" w14:textId="77777777">
              <w:tc>
                <w:tcPr>
                  <w:tcW w:w="0" w:type="auto"/>
                  <w:tcMar>
                    <w:top w:w="0" w:type="dxa"/>
                    <w:left w:w="270" w:type="dxa"/>
                    <w:bottom w:w="135" w:type="dxa"/>
                    <w:right w:w="270" w:type="dxa"/>
                  </w:tcMar>
                  <w:hideMark/>
                </w:tcPr>
                <w:p w14:paraId="6D45E56A" w14:textId="77777777" w:rsidR="00824535" w:rsidRDefault="00824535">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lastRenderedPageBreak/>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7F889A69" w14:textId="77777777" w:rsidR="00824535" w:rsidRDefault="00824535">
            <w:pPr>
              <w:rPr>
                <w:rFonts w:ascii="Times" w:hAnsi="Times"/>
                <w:color w:val="000000"/>
                <w:sz w:val="27"/>
                <w:szCs w:val="27"/>
              </w:rPr>
            </w:pPr>
          </w:p>
        </w:tc>
      </w:tr>
    </w:tbl>
    <w:p w14:paraId="180C9930"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401C8B2" w14:textId="77777777" w:rsidTr="0082453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24535" w14:paraId="39F884BE" w14:textId="77777777">
              <w:tc>
                <w:tcPr>
                  <w:tcW w:w="0" w:type="auto"/>
                  <w:vAlign w:val="center"/>
                  <w:hideMark/>
                </w:tcPr>
                <w:p w14:paraId="365D7259" w14:textId="77777777" w:rsidR="00824535" w:rsidRDefault="00824535"/>
              </w:tc>
            </w:tr>
          </w:tbl>
          <w:p w14:paraId="0E0940A6" w14:textId="77777777" w:rsidR="00824535" w:rsidRDefault="00824535">
            <w:pPr>
              <w:rPr>
                <w:rFonts w:ascii="Times" w:hAnsi="Times"/>
                <w:color w:val="000000"/>
                <w:sz w:val="27"/>
                <w:szCs w:val="27"/>
              </w:rPr>
            </w:pPr>
          </w:p>
        </w:tc>
      </w:tr>
    </w:tbl>
    <w:p w14:paraId="237D0478"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19653703" w14:textId="77777777" w:rsidTr="0082453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24535" w14:paraId="2D644080" w14:textId="77777777">
              <w:tc>
                <w:tcPr>
                  <w:tcW w:w="0" w:type="auto"/>
                  <w:tcMar>
                    <w:top w:w="0" w:type="dxa"/>
                    <w:left w:w="270" w:type="dxa"/>
                    <w:bottom w:w="135" w:type="dxa"/>
                    <w:right w:w="270" w:type="dxa"/>
                  </w:tcMar>
                  <w:hideMark/>
                </w:tcPr>
                <w:p w14:paraId="0E214517" w14:textId="77777777" w:rsidR="00824535" w:rsidRDefault="00824535">
                  <w:pPr>
                    <w:spacing w:line="360" w:lineRule="atLeast"/>
                    <w:rPr>
                      <w:rFonts w:ascii="Verdana" w:hAnsi="Verdana"/>
                      <w:color w:val="4C6AA2"/>
                    </w:rPr>
                  </w:pPr>
                  <w:r>
                    <w:rPr>
                      <w:rStyle w:val="Strong"/>
                      <w:rFonts w:ascii="Helvetica Neue" w:hAnsi="Helvetica Neue"/>
                      <w:color w:val="4B6AA2"/>
                      <w:sz w:val="27"/>
                      <w:szCs w:val="27"/>
                    </w:rPr>
                    <w:t>Cold War Intelligence</w:t>
                  </w:r>
                  <w:r>
                    <w:rPr>
                      <w:rFonts w:ascii="Verdana" w:hAnsi="Verdana"/>
                      <w:color w:val="4C6AA2"/>
                    </w:rPr>
                    <w:br/>
                  </w:r>
                  <w:r>
                    <w:rPr>
                      <w:rFonts w:ascii="Verdana" w:hAnsi="Verdana"/>
                      <w:color w:val="4C6AA2"/>
                    </w:rPr>
                    <w:br/>
                  </w:r>
                  <w:r>
                    <w:rPr>
                      <w:rFonts w:ascii="Helvetica Neue" w:hAnsi="Helvetica Neue"/>
                      <w:color w:val="000000"/>
                      <w:sz w:val="18"/>
                      <w:szCs w:val="18"/>
                    </w:rPr>
                    <w:t>The </w:t>
                  </w:r>
                  <w:r>
                    <w:rPr>
                      <w:rStyle w:val="Emphasis"/>
                      <w:rFonts w:ascii="Helvetica Neue" w:hAnsi="Helvetica Neue"/>
                      <w:color w:val="000000"/>
                      <w:sz w:val="18"/>
                      <w:szCs w:val="18"/>
                    </w:rPr>
                    <w:t>Atlantic</w:t>
                  </w:r>
                  <w:r>
                    <w:rPr>
                      <w:rFonts w:ascii="Helvetica Neue" w:hAnsi="Helvetica Neue"/>
                      <w:color w:val="000000"/>
                      <w:sz w:val="18"/>
                      <w:szCs w:val="18"/>
                    </w:rPr>
                    <w:t> article on intelligence shortfalls introduced by your contributor in edition 52 of Columns, issued on 30 September, identifies the failure to predict the rise of al Qaeda and hence the Twin Towers bombings as the main shortcoming of US intelligence agencies over the past 50 years.</w:t>
                  </w:r>
                  <w:r>
                    <w:rPr>
                      <w:rFonts w:ascii="Helvetica Neue" w:hAnsi="Helvetica Neue"/>
                      <w:color w:val="000000"/>
                      <w:sz w:val="18"/>
                      <w:szCs w:val="18"/>
                    </w:rPr>
                    <w:br/>
                  </w:r>
                  <w:r>
                    <w:rPr>
                      <w:rFonts w:ascii="Helvetica Neue" w:hAnsi="Helvetica Neue"/>
                      <w:color w:val="000000"/>
                      <w:sz w:val="18"/>
                      <w:szCs w:val="18"/>
                    </w:rPr>
                    <w:br/>
                    <w:t>Surely that distinction belongs to their failure to predict the end of the Cold War and the dissolution of the Soviet Union. There were those who said they’d seen it coming, but they said that only after the event. As the article comments, intelligence agencies remained preoccupied with the Soviet bloc throughout the 1990s. The Cold War mindset was unshakeable.</w:t>
                  </w:r>
                  <w:r>
                    <w:rPr>
                      <w:rFonts w:ascii="Helvetica Neue" w:hAnsi="Helvetica Neue"/>
                      <w:color w:val="000000"/>
                      <w:sz w:val="18"/>
                      <w:szCs w:val="18"/>
                    </w:rPr>
                    <w:br/>
                  </w:r>
                  <w:r>
                    <w:rPr>
                      <w:rFonts w:ascii="Helvetica Neue" w:hAnsi="Helvetica Neue"/>
                      <w:color w:val="000000"/>
                      <w:sz w:val="18"/>
                      <w:szCs w:val="18"/>
                    </w:rPr>
                    <w:br/>
                    <w:t>The </w:t>
                  </w:r>
                  <w:r>
                    <w:rPr>
                      <w:rStyle w:val="Emphasis"/>
                      <w:rFonts w:ascii="Helvetica Neue" w:hAnsi="Helvetica Neue"/>
                      <w:color w:val="000000"/>
                      <w:sz w:val="18"/>
                      <w:szCs w:val="18"/>
                    </w:rPr>
                    <w:t>Atlantic</w:t>
                  </w:r>
                  <w:r>
                    <w:rPr>
                      <w:rFonts w:ascii="Helvetica Neue" w:hAnsi="Helvetica Neue"/>
                      <w:color w:val="000000"/>
                      <w:sz w:val="18"/>
                      <w:szCs w:val="18"/>
                    </w:rPr>
                    <w:t> article focuses on US agencies, but much the same was true in Australia; I recall one of our analysts telling me that there was nothing in Gorbachev's reforms – which paved the way for the collapse of Soviet dominance in Eastern Europe and in Russia itself - that couldn't be undone in an afternoon.</w:t>
                  </w:r>
                  <w:r>
                    <w:rPr>
                      <w:rFonts w:ascii="Helvetica Neue" w:hAnsi="Helvetica Neue"/>
                      <w:color w:val="000000"/>
                      <w:sz w:val="18"/>
                      <w:szCs w:val="18"/>
                    </w:rPr>
                    <w:br/>
                  </w:r>
                  <w:r>
                    <w:rPr>
                      <w:rFonts w:ascii="Helvetica Neue" w:hAnsi="Helvetica Neue"/>
                      <w:color w:val="000000"/>
                      <w:sz w:val="18"/>
                      <w:szCs w:val="18"/>
                    </w:rPr>
                    <w:br/>
                    <w:t>Like the military, the instinctive mission of intelligence agencies is to identify enemies against whom to defend their country. They can be reluctant to recognise that a long-standing threat has diminished.</w:t>
                  </w:r>
                  <w:r>
                    <w:rPr>
                      <w:rFonts w:ascii="Helvetica Neue" w:hAnsi="Helvetica Neue"/>
                      <w:color w:val="000000"/>
                      <w:sz w:val="18"/>
                      <w:szCs w:val="18"/>
                    </w:rPr>
                    <w:br/>
                  </w:r>
                  <w:r>
                    <w:rPr>
                      <w:rFonts w:ascii="Helvetica Neue" w:hAnsi="Helvetica Neue"/>
                      <w:color w:val="000000"/>
                      <w:sz w:val="18"/>
                      <w:szCs w:val="18"/>
                    </w:rPr>
                    <w:br/>
                  </w:r>
                  <w:r>
                    <w:rPr>
                      <w:rStyle w:val="Emphasis"/>
                      <w:rFonts w:ascii="Helvetica Neue" w:hAnsi="Helvetica Neue"/>
                      <w:b/>
                      <w:bCs/>
                      <w:color w:val="000000"/>
                      <w:sz w:val="18"/>
                      <w:szCs w:val="18"/>
                    </w:rPr>
                    <w:t>Ian Lincoln</w:t>
                  </w:r>
                </w:p>
              </w:tc>
            </w:tr>
          </w:tbl>
          <w:p w14:paraId="7A0B2A5D" w14:textId="77777777" w:rsidR="00824535" w:rsidRDefault="00824535">
            <w:pPr>
              <w:rPr>
                <w:rFonts w:ascii="Times" w:hAnsi="Times"/>
                <w:color w:val="000000"/>
                <w:sz w:val="27"/>
                <w:szCs w:val="27"/>
              </w:rPr>
            </w:pPr>
          </w:p>
        </w:tc>
      </w:tr>
    </w:tbl>
    <w:p w14:paraId="5AFC2011" w14:textId="77777777" w:rsidR="00824535" w:rsidRDefault="00824535" w:rsidP="0082453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24535" w14:paraId="67BC39B2" w14:textId="77777777" w:rsidTr="0082453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24535" w14:paraId="2D41AEE9" w14:textId="77777777">
              <w:tc>
                <w:tcPr>
                  <w:tcW w:w="0" w:type="auto"/>
                  <w:vAlign w:val="center"/>
                  <w:hideMark/>
                </w:tcPr>
                <w:p w14:paraId="15670BF0" w14:textId="77777777" w:rsidR="00824535" w:rsidRDefault="00824535"/>
              </w:tc>
            </w:tr>
          </w:tbl>
          <w:p w14:paraId="4BDFE760" w14:textId="77777777" w:rsidR="00824535" w:rsidRDefault="00824535">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C45A3"/>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9"/>
  </w:num>
  <w:num w:numId="3">
    <w:abstractNumId w:val="20"/>
  </w:num>
  <w:num w:numId="4">
    <w:abstractNumId w:val="18"/>
  </w:num>
  <w:num w:numId="5">
    <w:abstractNumId w:val="4"/>
  </w:num>
  <w:num w:numId="6">
    <w:abstractNumId w:val="21"/>
  </w:num>
  <w:num w:numId="7">
    <w:abstractNumId w:val="22"/>
  </w:num>
  <w:num w:numId="8">
    <w:abstractNumId w:val="10"/>
  </w:num>
  <w:num w:numId="9">
    <w:abstractNumId w:val="27"/>
  </w:num>
  <w:num w:numId="10">
    <w:abstractNumId w:val="12"/>
  </w:num>
  <w:num w:numId="11">
    <w:abstractNumId w:val="16"/>
  </w:num>
  <w:num w:numId="12">
    <w:abstractNumId w:val="34"/>
  </w:num>
  <w:num w:numId="13">
    <w:abstractNumId w:val="8"/>
  </w:num>
  <w:num w:numId="14">
    <w:abstractNumId w:val="37"/>
  </w:num>
  <w:num w:numId="15">
    <w:abstractNumId w:val="0"/>
  </w:num>
  <w:num w:numId="16">
    <w:abstractNumId w:val="25"/>
  </w:num>
  <w:num w:numId="17">
    <w:abstractNumId w:val="40"/>
  </w:num>
  <w:num w:numId="18">
    <w:abstractNumId w:val="29"/>
  </w:num>
  <w:num w:numId="19">
    <w:abstractNumId w:val="1"/>
  </w:num>
  <w:num w:numId="20">
    <w:abstractNumId w:val="33"/>
  </w:num>
  <w:num w:numId="21">
    <w:abstractNumId w:val="24"/>
  </w:num>
  <w:num w:numId="22">
    <w:abstractNumId w:val="32"/>
  </w:num>
  <w:num w:numId="23">
    <w:abstractNumId w:val="6"/>
  </w:num>
  <w:num w:numId="24">
    <w:abstractNumId w:val="28"/>
  </w:num>
  <w:num w:numId="25">
    <w:abstractNumId w:val="26"/>
  </w:num>
  <w:num w:numId="26">
    <w:abstractNumId w:val="3"/>
  </w:num>
  <w:num w:numId="27">
    <w:abstractNumId w:val="15"/>
  </w:num>
  <w:num w:numId="28">
    <w:abstractNumId w:val="17"/>
  </w:num>
  <w:num w:numId="29">
    <w:abstractNumId w:val="38"/>
  </w:num>
  <w:num w:numId="30">
    <w:abstractNumId w:val="31"/>
  </w:num>
  <w:num w:numId="31">
    <w:abstractNumId w:val="39"/>
  </w:num>
  <w:num w:numId="32">
    <w:abstractNumId w:val="14"/>
  </w:num>
  <w:num w:numId="33">
    <w:abstractNumId w:val="43"/>
  </w:num>
  <w:num w:numId="34">
    <w:abstractNumId w:val="30"/>
  </w:num>
  <w:num w:numId="35">
    <w:abstractNumId w:val="2"/>
  </w:num>
  <w:num w:numId="36">
    <w:abstractNumId w:val="41"/>
  </w:num>
  <w:num w:numId="37">
    <w:abstractNumId w:val="23"/>
  </w:num>
  <w:num w:numId="38">
    <w:abstractNumId w:val="19"/>
  </w:num>
  <w:num w:numId="39">
    <w:abstractNumId w:val="11"/>
  </w:num>
  <w:num w:numId="40">
    <w:abstractNumId w:val="36"/>
  </w:num>
  <w:num w:numId="41">
    <w:abstractNumId w:val="42"/>
  </w:num>
  <w:num w:numId="42">
    <w:abstractNumId w:val="13"/>
  </w:num>
  <w:num w:numId="43">
    <w:abstractNumId w:val="5"/>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3553B"/>
    <w:rsid w:val="00446DA3"/>
    <w:rsid w:val="00500F2A"/>
    <w:rsid w:val="00620940"/>
    <w:rsid w:val="0066194E"/>
    <w:rsid w:val="0066673F"/>
    <w:rsid w:val="00824535"/>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186938113@N07/51647830868/in/album-72157720094213749/" TargetMode="External"/><Relationship Id="rId18" Type="http://schemas.openxmlformats.org/officeDocument/2006/relationships/hyperlink" Target="https://www.newyorker.com/news/postscript/colin-powell-the-humble-american" TargetMode="External"/><Relationship Id="rId26" Type="http://schemas.openxmlformats.org/officeDocument/2006/relationships/hyperlink" Target="https://covid19.mohw.gov.tw/en/cp-4789-53866-206.html" TargetMode="External"/><Relationship Id="rId21" Type="http://schemas.openxmlformats.org/officeDocument/2006/relationships/hyperlink" Target="https://www.theguardian.com/world/2021/nov/02/report-on-tigray-civil-war-to-be-released-amid-objectivity-concerns" TargetMode="External"/><Relationship Id="rId34" Type="http://schemas.openxmlformats.org/officeDocument/2006/relationships/hyperlink" Target="https://www.aljazeera.com/news/2021/11/3/ethiopias-war-marked-by-extreme-brutality-from-all-sides-un" TargetMode="External"/><Relationship Id="rId7" Type="http://schemas.openxmlformats.org/officeDocument/2006/relationships/image" Target="media/image3.jpeg"/><Relationship Id="rId12" Type="http://schemas.openxmlformats.org/officeDocument/2006/relationships/hyperlink" Target="https://www.theguardian.com/environment/2021/nov/02/us-rejoins-coalition-to-achieve-15c-goal-at-un-climate-talks" TargetMode="External"/><Relationship Id="rId17" Type="http://schemas.openxmlformats.org/officeDocument/2006/relationships/image" Target="media/image5.jpeg"/><Relationship Id="rId25" Type="http://schemas.openxmlformats.org/officeDocument/2006/relationships/hyperlink" Target="https://www.eastasiaforum.org/2021/10/30/exporting-taiwans-covid-19-success-to-vietnam/" TargetMode="External"/><Relationship Id="rId33" Type="http://schemas.openxmlformats.org/officeDocument/2006/relationships/hyperlink" Target="https://www.abc.net.au/news/2021-11-03/will-australia-meet-and-beat-2030-emissions-target/100568416" TargetMode="External"/><Relationship Id="rId2" Type="http://schemas.openxmlformats.org/officeDocument/2006/relationships/styles" Target="styles.xml"/><Relationship Id="rId16" Type="http://schemas.openxmlformats.org/officeDocument/2006/relationships/hyperlink" Target="https://www.flickr.com/photos/limulus/752868828/in/photolist-29wDF3-L7nowz-2iL739r-ygCw6s-7MZysw-7MVyMZ-7MZxBy-7MZyhJ-7MVxQ6-8hTaU6-7MZy17-8hTb2n-4o5LRP-8hTaPT-8hTaNR-8hWpJ5-8WW5eW-8hWpGL-8hWpMo-7MZx39-dCkkCg-9JSwue-8hTb12-8hTaVk-8hWpNQ-ejgzqc-7MZyzN-GfKjW-7MVA4R-4kwS-7MVxZr-7MZxvf-7MVyrK-oBEDa6-4CxSQn-7P3R4v-Pn63wc-7P3QSK-7MZxTb-7P3Qke-7P3RoK-7P7Qwm-2kjudWE-Nze21s-4rXKMX-7P3Qut-8qnmzj-mornW-7P3QFc-7P7Pub" TargetMode="External"/><Relationship Id="rId20" Type="http://schemas.openxmlformats.org/officeDocument/2006/relationships/image" Target="media/image6.jpeg"/><Relationship Id="rId29" Type="http://schemas.openxmlformats.org/officeDocument/2006/relationships/hyperlink" Target="https://www.smh.com.au/world/europe/i-don-t-think-i-know-french-president-macron-says-scott-morrison-lied-to-him-20211101-p594sx.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limatechangenews.com/2021/11/02/100-countries-join-methane-pledge-china-india-australia-russia-stay/?utm_source=Climate+Weekly&amp;utm_campaign=8b65a258ec-EMAIL_CAMPAIGN_2021_10_29_04_03_COPY_02&amp;utm_medium=email&amp;utm_term=0_bf939f9418-8b65a258ec-407979977" TargetMode="External"/><Relationship Id="rId24" Type="http://schemas.openxmlformats.org/officeDocument/2006/relationships/image" Target="media/image7.jpeg"/><Relationship Id="rId32" Type="http://schemas.openxmlformats.org/officeDocument/2006/relationships/hyperlink" Target="https://thediplomat.com/2021/11/myanmars-missing-million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arontherocks.com/2021/09/dont-count-your-submarines-before-theyre-built/" TargetMode="External"/><Relationship Id="rId23" Type="http://schemas.openxmlformats.org/officeDocument/2006/relationships/hyperlink" Target="https://www.pxfuel.com/en/free-photo-jrhcu" TargetMode="External"/><Relationship Id="rId28" Type="http://schemas.openxmlformats.org/officeDocument/2006/relationships/hyperlink" Target="https://www.google.com/imgres?imgurl=https%3A%2F%2Fupload.wikimedia.org%2Fwikipedia%2Fcommons%2Fd%2Fd9%2FCOVID-19_vaccination_in_Hsinchu%252C_Taiwan_20210716.jpg&amp;imgrefurl=https%3A%2F%2Fcommons.wikimedia.org%2Fwiki%2FFile%3ACOVID-19_vaccination_in_Hsinchu%2C_Taiwan_20210716.jpg&amp;tbnid=z7IobYAWcvgUMM&amp;vet=12ahUKEwjkv4_68PvzAhX1kuYKHVU_COQQMygKegQIARAt..i&amp;docid=67NpVynGTlPkcM&amp;w=2048&amp;h=1208&amp;q=taiwan%20covid-19&amp;hl=vi&amp;client=safari&amp;ved=2ahUKEwjkv4_68PvzAhX1kuYKHVU_COQQMygKegQIARAt" TargetMode="External"/><Relationship Id="rId36" Type="http://schemas.openxmlformats.org/officeDocument/2006/relationships/fontTable" Target="fontTable.xml"/><Relationship Id="rId10" Type="http://schemas.openxmlformats.org/officeDocument/2006/relationships/hyperlink" Target="https://www.climatechangenews.com/2021/10/25/donor-countries-set-reach-100bn-climate-finance-target-2023-three-years-late/" TargetMode="External"/><Relationship Id="rId19" Type="http://schemas.openxmlformats.org/officeDocument/2006/relationships/hyperlink" Target="https://www.flickr.com/photos/ableman/3051264178/in/photolist-5DCwx5-efUT5B-efUTmX-fB5b2j-fB5b1h-5v8e9y-yBhtK-9iW8it-kpMb7C-kpJKy4-kpMbpw-kpL4QT-kpKPEi-kpL4oF-kpLyRr-kpLELx-kpLAeB-kpNwVQ-kpNk67-kpKTqz-kpKSAt-kpLBTP-kpNkqf-kpNjgG-kpKQPx-kpKzdF-kpKxGK-kpMg15-kpJQ4X-kpJM6H-kpKuJv-kpNisN-kpLzfT-kpM43s-kpPEGj-kpL3Q6-kpNtPj-kpLRUV-kpNudq-kpKm7T-kpMeWm-kpMe7q-kpJLhP-kpMcc3-kpLiup-kpN4bw-kpKxGr-kpMZ4d-kpMXxC-kpKwZK" TargetMode="External"/><Relationship Id="rId31" Type="http://schemas.openxmlformats.org/officeDocument/2006/relationships/hyperlink" Target="https://www.bbc.com/future/article/20211028-how-chinas-climate-decisions-affect-the-world" TargetMode="External"/><Relationship Id="rId4" Type="http://schemas.openxmlformats.org/officeDocument/2006/relationships/webSettings" Target="webSettings.xml"/><Relationship Id="rId9" Type="http://schemas.openxmlformats.org/officeDocument/2006/relationships/hyperlink" Target="https://www.youtube.com/watch?v=OhPAvbHav1Q" TargetMode="External"/><Relationship Id="rId14" Type="http://schemas.openxmlformats.org/officeDocument/2006/relationships/image" Target="media/image4.jpeg"/><Relationship Id="rId22" Type="http://schemas.openxmlformats.org/officeDocument/2006/relationships/hyperlink" Target="https://www.flickr.com/photos/faces-of-the-world/51419852660/in/photolist-2mkNbKN-2jpueSe-RwJKM5-2hkn12H-2ijvJ45-U3sS5A-2kPEUYj-23s4Gpu-V7qc2c-RzTiFs-2mjHkKY-YYeaHP-G6aytt-XTytMC-Zf9ixq-TW2e8R-YeDyNu-YVzZxJ-XWDSYD-25mjjM9-2a4EynL-2dhETPk-2444gpk-2jjovCJ-YtCNfB-YeDyJw-YJj9G9-UjH8rD-XHJDbC-2eLaPzk-HovMJ6-LAYJKu-PKfJha-UAnwtZ-24wTypF-XS36NU-21LUo73-Gp9R5h-YPTePs-YUkxh3-23s4ABh-BQBJ4Q-YTZBEw-24wTyYM-21LUnQw-24wTy6K-BQBJMd-23aDip6-XSmajA-XSmaDy" TargetMode="External"/><Relationship Id="rId27" Type="http://schemas.openxmlformats.org/officeDocument/2006/relationships/hyperlink" Target="http://www.taipeitimes.com/News/taiwan/archives/2019/09/26/2003722946" TargetMode="External"/><Relationship Id="rId30" Type="http://schemas.openxmlformats.org/officeDocument/2006/relationships/hyperlink" Target="https://www.theguardian.com/environment/2021/nov/02/world-leaders-announce-plan-to-make-green-tech-cheaper-than-alternatives" TargetMode="External"/><Relationship Id="rId35" Type="http://schemas.openxmlformats.org/officeDocument/2006/relationships/hyperlink" Target="mailto:aiianswletters@gmail.com" TargetMode="External"/><Relationship Id="rId8" Type="http://schemas.openxmlformats.org/officeDocument/2006/relationships/hyperlink" Target="https://www.climatechangenews.com/2021/11/02/100-countries-join-methane-pledge-china-india-australia-russia-stay/?utm_source=Climate+Weekly&amp;utm_campaign=8b65a258ec-EMAIL_CAMPAIGN_2021_10_29_04_03_COPY_02&amp;utm_medium=email&amp;utm_term=0_bf939f9418-8b65a258ec-40797997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2021-11-10T09:12:00Z</dcterms:created>
  <dcterms:modified xsi:type="dcterms:W3CDTF">2021-11-10T09:12:00Z</dcterms:modified>
</cp:coreProperties>
</file>