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4A5CB665" w14:textId="77777777" w:rsidTr="003C61A8">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3C61A8" w14:paraId="4F07399E" w14:textId="77777777">
              <w:tc>
                <w:tcPr>
                  <w:tcW w:w="0" w:type="auto"/>
                  <w:tcMar>
                    <w:top w:w="0" w:type="dxa"/>
                    <w:left w:w="135" w:type="dxa"/>
                    <w:bottom w:w="0" w:type="dxa"/>
                    <w:right w:w="135" w:type="dxa"/>
                  </w:tcMar>
                  <w:hideMark/>
                </w:tcPr>
                <w:p w14:paraId="380265C6" w14:textId="24497396" w:rsidR="003C61A8" w:rsidRDefault="003C61A8">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27FA4069" wp14:editId="629C6131">
                        <wp:extent cx="6475730" cy="1430655"/>
                        <wp:effectExtent l="0" t="0" r="1270" b="444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30655"/>
                                </a:xfrm>
                                <a:prstGeom prst="rect">
                                  <a:avLst/>
                                </a:prstGeom>
                                <a:noFill/>
                                <a:ln>
                                  <a:noFill/>
                                </a:ln>
                              </pic:spPr>
                            </pic:pic>
                          </a:graphicData>
                        </a:graphic>
                      </wp:inline>
                    </w:drawing>
                  </w:r>
                  <w:r>
                    <w:fldChar w:fldCharType="end"/>
                  </w:r>
                </w:p>
              </w:tc>
            </w:tr>
          </w:tbl>
          <w:p w14:paraId="633A3052" w14:textId="77777777" w:rsidR="003C61A8" w:rsidRDefault="003C61A8">
            <w:pPr>
              <w:rPr>
                <w:rFonts w:ascii="Times" w:hAnsi="Times"/>
                <w:color w:val="000000"/>
                <w:sz w:val="27"/>
                <w:szCs w:val="27"/>
              </w:rPr>
            </w:pPr>
          </w:p>
        </w:tc>
      </w:tr>
    </w:tbl>
    <w:p w14:paraId="61CE1D27"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234221A5"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515643D4" w14:textId="77777777">
              <w:tc>
                <w:tcPr>
                  <w:tcW w:w="0" w:type="auto"/>
                  <w:tcMar>
                    <w:top w:w="0" w:type="dxa"/>
                    <w:left w:w="270" w:type="dxa"/>
                    <w:bottom w:w="135" w:type="dxa"/>
                    <w:right w:w="270" w:type="dxa"/>
                  </w:tcMar>
                  <w:hideMark/>
                </w:tcPr>
                <w:p w14:paraId="3B41408D" w14:textId="77777777" w:rsidR="003C61A8" w:rsidRDefault="003C61A8">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48 of:</w:t>
                  </w:r>
                </w:p>
              </w:tc>
            </w:tr>
          </w:tbl>
          <w:p w14:paraId="7574F75A" w14:textId="77777777" w:rsidR="003C61A8" w:rsidRDefault="003C61A8">
            <w:pPr>
              <w:rPr>
                <w:rFonts w:ascii="Times" w:hAnsi="Times"/>
                <w:color w:val="000000"/>
                <w:sz w:val="27"/>
                <w:szCs w:val="27"/>
              </w:rPr>
            </w:pPr>
          </w:p>
        </w:tc>
      </w:tr>
    </w:tbl>
    <w:p w14:paraId="3B118AC9"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15A8AC76" w14:textId="77777777" w:rsidTr="003C61A8">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25B9CAA7" w14:textId="77777777">
              <w:tc>
                <w:tcPr>
                  <w:tcW w:w="0" w:type="auto"/>
                  <w:hideMark/>
                </w:tcPr>
                <w:p w14:paraId="2B0624AD" w14:textId="151E886C" w:rsidR="003C61A8" w:rsidRDefault="003C61A8">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685B324" wp14:editId="2F7420E4">
                        <wp:extent cx="6475730" cy="3638550"/>
                        <wp:effectExtent l="0" t="0" r="1270" b="635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bl>
          <w:p w14:paraId="63A03F49" w14:textId="77777777" w:rsidR="003C61A8" w:rsidRDefault="003C61A8">
            <w:pPr>
              <w:rPr>
                <w:rFonts w:ascii="Times" w:hAnsi="Times"/>
                <w:color w:val="000000"/>
                <w:sz w:val="27"/>
                <w:szCs w:val="27"/>
              </w:rPr>
            </w:pPr>
          </w:p>
        </w:tc>
      </w:tr>
    </w:tbl>
    <w:p w14:paraId="02ECF5A6"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19035899" w14:textId="77777777" w:rsidTr="003C61A8">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C61A8" w14:paraId="1528BBF8" w14:textId="77777777">
              <w:tc>
                <w:tcPr>
                  <w:tcW w:w="0" w:type="auto"/>
                  <w:vAlign w:val="center"/>
                  <w:hideMark/>
                </w:tcPr>
                <w:p w14:paraId="57989F6B" w14:textId="77777777" w:rsidR="003C61A8" w:rsidRDefault="003C61A8"/>
              </w:tc>
            </w:tr>
          </w:tbl>
          <w:p w14:paraId="56BFD962" w14:textId="77777777" w:rsidR="003C61A8" w:rsidRDefault="003C61A8">
            <w:pPr>
              <w:rPr>
                <w:rFonts w:ascii="Times" w:hAnsi="Times"/>
                <w:color w:val="000000"/>
                <w:sz w:val="27"/>
                <w:szCs w:val="27"/>
              </w:rPr>
            </w:pPr>
          </w:p>
        </w:tc>
      </w:tr>
    </w:tbl>
    <w:p w14:paraId="306AB0D0"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64152723" w14:textId="77777777" w:rsidTr="003C61A8">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517AFCE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C61A8" w14:paraId="16E8EBFF" w14:textId="77777777">
                    <w:tc>
                      <w:tcPr>
                        <w:tcW w:w="0" w:type="auto"/>
                        <w:shd w:val="clear" w:color="auto" w:fill="4B6AA2"/>
                        <w:tcMar>
                          <w:top w:w="270" w:type="dxa"/>
                          <w:left w:w="270" w:type="dxa"/>
                          <w:bottom w:w="270" w:type="dxa"/>
                          <w:right w:w="270" w:type="dxa"/>
                        </w:tcMar>
                        <w:hideMark/>
                      </w:tcPr>
                      <w:p w14:paraId="080DDD21" w14:textId="77777777" w:rsidR="003C61A8" w:rsidRDefault="003C61A8">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00B2412D" w14:textId="77777777" w:rsidR="003C61A8" w:rsidRDefault="003C61A8">
                  <w:pPr>
                    <w:rPr>
                      <w:rFonts w:ascii="Times New Roman" w:hAnsi="Times New Roman"/>
                    </w:rPr>
                  </w:pPr>
                </w:p>
              </w:tc>
            </w:tr>
          </w:tbl>
          <w:p w14:paraId="7645853B" w14:textId="77777777" w:rsidR="003C61A8" w:rsidRDefault="003C61A8">
            <w:pPr>
              <w:rPr>
                <w:rFonts w:ascii="Times" w:hAnsi="Times"/>
                <w:color w:val="000000"/>
                <w:sz w:val="27"/>
                <w:szCs w:val="27"/>
              </w:rPr>
            </w:pPr>
          </w:p>
        </w:tc>
      </w:tr>
    </w:tbl>
    <w:p w14:paraId="1A8B498D"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6F3AC504"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20FF849F" w14:textId="77777777">
              <w:tc>
                <w:tcPr>
                  <w:tcW w:w="0" w:type="auto"/>
                  <w:tcMar>
                    <w:top w:w="0" w:type="dxa"/>
                    <w:left w:w="270" w:type="dxa"/>
                    <w:bottom w:w="135" w:type="dxa"/>
                    <w:right w:w="270" w:type="dxa"/>
                  </w:tcMar>
                  <w:hideMark/>
                </w:tcPr>
                <w:p w14:paraId="6C9165E9" w14:textId="77777777" w:rsidR="003C61A8" w:rsidRDefault="003C61A8">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US-Japan relations, changes in Cuba and funding for Australia's foreign policy institutions.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58F8DAC" w14:textId="77777777" w:rsidR="003C61A8" w:rsidRDefault="003C61A8">
            <w:pPr>
              <w:rPr>
                <w:rFonts w:ascii="Times" w:hAnsi="Times"/>
                <w:color w:val="000000"/>
                <w:sz w:val="27"/>
                <w:szCs w:val="27"/>
              </w:rPr>
            </w:pPr>
          </w:p>
        </w:tc>
      </w:tr>
    </w:tbl>
    <w:p w14:paraId="3CA519DF"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36E59768"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01BF4B25" w14:textId="77777777">
              <w:tc>
                <w:tcPr>
                  <w:tcW w:w="0" w:type="auto"/>
                  <w:vAlign w:val="center"/>
                  <w:hideMark/>
                </w:tcPr>
                <w:p w14:paraId="24DE5DC0" w14:textId="77777777" w:rsidR="003C61A8" w:rsidRDefault="003C61A8"/>
              </w:tc>
            </w:tr>
          </w:tbl>
          <w:p w14:paraId="22B28D5B" w14:textId="77777777" w:rsidR="003C61A8" w:rsidRDefault="003C61A8">
            <w:pPr>
              <w:rPr>
                <w:rFonts w:ascii="Times" w:hAnsi="Times"/>
                <w:color w:val="000000"/>
                <w:sz w:val="27"/>
                <w:szCs w:val="27"/>
              </w:rPr>
            </w:pPr>
          </w:p>
        </w:tc>
      </w:tr>
    </w:tbl>
    <w:p w14:paraId="20EE35DE"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250D41C0" w14:textId="77777777" w:rsidTr="003C61A8">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3C61A8" w14:paraId="1374F301" w14:textId="77777777">
              <w:tc>
                <w:tcPr>
                  <w:tcW w:w="0" w:type="auto"/>
                  <w:tcMar>
                    <w:top w:w="0" w:type="dxa"/>
                    <w:left w:w="135" w:type="dxa"/>
                    <w:bottom w:w="135" w:type="dxa"/>
                    <w:right w:w="135" w:type="dxa"/>
                  </w:tcMar>
                  <w:hideMark/>
                </w:tcPr>
                <w:p w14:paraId="6D954B41" w14:textId="3DCA7DEF" w:rsidR="003C61A8" w:rsidRDefault="003C61A8">
                  <w:r>
                    <w:lastRenderedPageBreak/>
                    <w:fldChar w:fldCharType="begin"/>
                  </w:r>
                  <w:r>
                    <w:instrText xml:space="preserve"> INCLUDEPICTURE "https://mcusercontent.com/0e9feb1606f1b4129a8b65828/images/d96dbbeb-fc4a-72cf-2114-6f07073f4939.jpg" \* MERGEFORMATINET </w:instrText>
                  </w:r>
                  <w:r>
                    <w:fldChar w:fldCharType="separate"/>
                  </w:r>
                  <w:r>
                    <w:rPr>
                      <w:noProof/>
                    </w:rPr>
                    <w:drawing>
                      <wp:inline distT="0" distB="0" distL="0" distR="0" wp14:anchorId="1236525C" wp14:editId="17CA0FBD">
                        <wp:extent cx="6475730" cy="4316730"/>
                        <wp:effectExtent l="0" t="0" r="1270" b="1270"/>
                        <wp:docPr id="5" name="Picture 5"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at a podium&#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r w:rsidR="003C61A8" w14:paraId="192F691F" w14:textId="77777777">
              <w:tc>
                <w:tcPr>
                  <w:tcW w:w="8445" w:type="dxa"/>
                  <w:tcMar>
                    <w:top w:w="0" w:type="dxa"/>
                    <w:left w:w="135" w:type="dxa"/>
                    <w:bottom w:w="0" w:type="dxa"/>
                    <w:right w:w="135" w:type="dxa"/>
                  </w:tcMar>
                  <w:hideMark/>
                </w:tcPr>
                <w:p w14:paraId="089B208B" w14:textId="77777777" w:rsidR="003C61A8" w:rsidRDefault="003C61A8">
                  <w:pPr>
                    <w:pStyle w:val="Heading1"/>
                    <w:spacing w:before="0" w:beforeAutospacing="0" w:after="0" w:afterAutospacing="0" w:line="488" w:lineRule="atLeast"/>
                    <w:rPr>
                      <w:rFonts w:ascii="Arial" w:hAnsi="Arial"/>
                      <w:color w:val="000000"/>
                      <w:spacing w:val="-15"/>
                      <w:sz w:val="39"/>
                      <w:szCs w:val="39"/>
                    </w:rPr>
                  </w:pPr>
                  <w:hyperlink r:id="rId8" w:tgtFrame="_blank" w:history="1">
                    <w:r>
                      <w:rPr>
                        <w:rStyle w:val="Hyperlink"/>
                        <w:rFonts w:ascii="Helvetica Neue" w:hAnsi="Helvetica Neue"/>
                        <w:color w:val="4C6AA2"/>
                        <w:spacing w:val="-15"/>
                        <w:sz w:val="30"/>
                        <w:szCs w:val="30"/>
                      </w:rPr>
                      <w:t>The Many Narratives of China-Japan Relations</w:t>
                    </w:r>
                  </w:hyperlink>
                </w:p>
                <w:p w14:paraId="423C2A4B" w14:textId="77777777" w:rsidR="003C61A8" w:rsidRDefault="003C61A8">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 xml:space="preserve">The ties between the two NE Asia neighbouring powerhouses, </w:t>
                  </w:r>
                  <w:proofErr w:type="gramStart"/>
                  <w:r>
                    <w:rPr>
                      <w:rFonts w:ascii="Helvetica Neue" w:hAnsi="Helvetica Neue"/>
                      <w:color w:val="000000"/>
                      <w:sz w:val="18"/>
                      <w:szCs w:val="18"/>
                    </w:rPr>
                    <w:t>China</w:t>
                  </w:r>
                  <w:proofErr w:type="gramEnd"/>
                  <w:r>
                    <w:rPr>
                      <w:rFonts w:ascii="Helvetica Neue" w:hAnsi="Helvetica Neue"/>
                      <w:color w:val="000000"/>
                      <w:sz w:val="18"/>
                      <w:szCs w:val="18"/>
                    </w:rPr>
                    <w:t xml:space="preserve"> and Japan, are either strong or brittle, depending on whose account you choose to believe. Tobias Harris in </w:t>
                  </w:r>
                  <w:hyperlink r:id="rId9" w:tgtFrame="_blank" w:history="1">
                    <w:r>
                      <w:rPr>
                        <w:rStyle w:val="Hyperlink"/>
                        <w:rFonts w:ascii="Helvetica Neue" w:hAnsi="Helvetica Neue"/>
                        <w:b/>
                        <w:bCs/>
                        <w:color w:val="4C6AA2"/>
                        <w:sz w:val="18"/>
                        <w:szCs w:val="18"/>
                      </w:rPr>
                      <w:t>Foreign Policy (USA) </w:t>
                    </w:r>
                  </w:hyperlink>
                  <w:r>
                    <w:rPr>
                      <w:rFonts w:ascii="Helvetica Neue" w:hAnsi="Helvetica Neue"/>
                      <w:color w:val="000000"/>
                      <w:sz w:val="18"/>
                      <w:szCs w:val="18"/>
                    </w:rPr>
                    <w:t xml:space="preserve">distinguishes between the views of the hawkish Japanese military and those of business leaders and the general public. Japanese Ambassador </w:t>
                  </w:r>
                  <w:proofErr w:type="spellStart"/>
                  <w:r>
                    <w:rPr>
                      <w:rFonts w:ascii="Helvetica Neue" w:hAnsi="Helvetica Neue"/>
                      <w:color w:val="000000"/>
                      <w:sz w:val="18"/>
                      <w:szCs w:val="18"/>
                    </w:rPr>
                    <w:t>Yamagami</w:t>
                  </w:r>
                  <w:proofErr w:type="spellEnd"/>
                  <w:r>
                    <w:rPr>
                      <w:rFonts w:ascii="Helvetica Neue" w:hAnsi="Helvetica Neue"/>
                      <w:color w:val="000000"/>
                      <w:sz w:val="18"/>
                      <w:szCs w:val="18"/>
                    </w:rPr>
                    <w:t xml:space="preserve"> Shingo gave an </w:t>
                  </w:r>
                  <w:hyperlink r:id="rId10" w:tgtFrame="_blank" w:history="1">
                    <w:r>
                      <w:rPr>
                        <w:rStyle w:val="Hyperlink"/>
                        <w:rFonts w:ascii="Helvetica Neue" w:hAnsi="Helvetica Neue"/>
                        <w:b/>
                        <w:bCs/>
                        <w:color w:val="4C6AA2"/>
                        <w:sz w:val="18"/>
                        <w:szCs w:val="18"/>
                      </w:rPr>
                      <w:t>unremarkable address</w:t>
                    </w:r>
                  </w:hyperlink>
                  <w:r>
                    <w:rPr>
                      <w:rFonts w:ascii="Helvetica Neue" w:hAnsi="Helvetica Neue"/>
                      <w:color w:val="000000"/>
                      <w:sz w:val="18"/>
                      <w:szCs w:val="18"/>
                    </w:rPr>
                    <w:t> to the National Press Club on 21 July, focusing on bilateral relations and the Tokyo Olympics. The Australian media ignored his positive messaging and reported only his comments on China. The </w:t>
                  </w:r>
                  <w:hyperlink r:id="rId11" w:tgtFrame="_blank" w:history="1">
                    <w:r>
                      <w:rPr>
                        <w:rStyle w:val="Hyperlink"/>
                        <w:rFonts w:ascii="Helvetica Neue" w:hAnsi="Helvetica Neue"/>
                        <w:b/>
                        <w:bCs/>
                        <w:color w:val="4C6AA2"/>
                        <w:sz w:val="18"/>
                        <w:szCs w:val="18"/>
                      </w:rPr>
                      <w:t>ABC for instance</w:t>
                    </w:r>
                  </w:hyperlink>
                  <w:r>
                    <w:rPr>
                      <w:rFonts w:ascii="Helvetica Neue" w:hAnsi="Helvetica Neue"/>
                      <w:color w:val="000000"/>
                      <w:sz w:val="18"/>
                      <w:szCs w:val="18"/>
                    </w:rPr>
                    <w:t> said that according to the Ambassador, Japan was "struggling every day" with China, putting a negative slant on his remarks that was not inherent in those words. Several different perspectives again can be seen in a recent </w:t>
                  </w:r>
                  <w:hyperlink r:id="rId12" w:tgtFrame="_blank" w:history="1">
                    <w:r>
                      <w:rPr>
                        <w:rStyle w:val="Hyperlink"/>
                        <w:rFonts w:ascii="Helvetica Neue" w:hAnsi="Helvetica Neue"/>
                        <w:b/>
                        <w:bCs/>
                        <w:color w:val="4C6AA2"/>
                        <w:sz w:val="18"/>
                        <w:szCs w:val="18"/>
                      </w:rPr>
                      <w:t>magazine article</w:t>
                    </w:r>
                  </w:hyperlink>
                  <w:r>
                    <w:rPr>
                      <w:rFonts w:ascii="Helvetica Neue" w:hAnsi="Helvetica Neue"/>
                      <w:color w:val="000000"/>
                      <w:sz w:val="18"/>
                      <w:szCs w:val="18"/>
                    </w:rPr>
                    <w:t> from the Foreign Press Centre Japan, which also canvasses how Japanese scholars and commentators believe their country should engage with China.</w:t>
                  </w:r>
                  <w:r>
                    <w:rPr>
                      <w:rFonts w:ascii="Verdana" w:hAnsi="Verdana"/>
                      <w:color w:val="000000"/>
                    </w:rPr>
                    <w:br/>
                  </w:r>
                  <w:r>
                    <w:rPr>
                      <w:rFonts w:ascii="Helvetica Neue" w:hAnsi="Helvetica Neue"/>
                      <w:color w:val="000000"/>
                      <w:sz w:val="17"/>
                      <w:szCs w:val="17"/>
                    </w:rPr>
                    <w:t>Image Credit: </w:t>
                  </w:r>
                  <w:hyperlink r:id="rId13" w:tgtFrame="_blank" w:history="1">
                    <w:r>
                      <w:rPr>
                        <w:rStyle w:val="Hyperlink"/>
                        <w:rFonts w:ascii="Helvetica Neue" w:hAnsi="Helvetica Neue"/>
                        <w:b/>
                        <w:bCs/>
                        <w:color w:val="4C6AA2"/>
                        <w:sz w:val="17"/>
                        <w:szCs w:val="17"/>
                      </w:rPr>
                      <w:t>UNIS Vienna</w:t>
                    </w:r>
                  </w:hyperlink>
                </w:p>
              </w:tc>
            </w:tr>
          </w:tbl>
          <w:p w14:paraId="4AE096FD" w14:textId="77777777" w:rsidR="003C61A8" w:rsidRDefault="003C61A8">
            <w:pPr>
              <w:rPr>
                <w:rFonts w:ascii="Times" w:hAnsi="Times"/>
                <w:color w:val="000000"/>
                <w:sz w:val="27"/>
                <w:szCs w:val="27"/>
              </w:rPr>
            </w:pPr>
          </w:p>
        </w:tc>
      </w:tr>
    </w:tbl>
    <w:p w14:paraId="08A0346D"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576AD3C1"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1C0D845A" w14:textId="77777777">
              <w:tc>
                <w:tcPr>
                  <w:tcW w:w="0" w:type="auto"/>
                  <w:vAlign w:val="center"/>
                  <w:hideMark/>
                </w:tcPr>
                <w:p w14:paraId="0507ECA1" w14:textId="77777777" w:rsidR="003C61A8" w:rsidRDefault="003C61A8"/>
              </w:tc>
            </w:tr>
          </w:tbl>
          <w:p w14:paraId="4D9B3C73" w14:textId="77777777" w:rsidR="003C61A8" w:rsidRDefault="003C61A8">
            <w:pPr>
              <w:rPr>
                <w:rFonts w:ascii="Times" w:hAnsi="Times"/>
                <w:color w:val="000000"/>
                <w:sz w:val="27"/>
                <w:szCs w:val="27"/>
              </w:rPr>
            </w:pPr>
          </w:p>
        </w:tc>
      </w:tr>
    </w:tbl>
    <w:p w14:paraId="384A73FF"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6E7C8296"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069B1E2E" w14:textId="77777777">
              <w:tc>
                <w:tcPr>
                  <w:tcW w:w="0" w:type="auto"/>
                  <w:tcMar>
                    <w:top w:w="0" w:type="dxa"/>
                    <w:left w:w="270" w:type="dxa"/>
                    <w:bottom w:w="135" w:type="dxa"/>
                    <w:right w:w="270" w:type="dxa"/>
                  </w:tcMar>
                  <w:hideMark/>
                </w:tcPr>
                <w:p w14:paraId="1B50D229" w14:textId="77777777" w:rsidR="003C61A8" w:rsidRDefault="003C61A8">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000000"/>
                      <w:sz w:val="18"/>
                      <w:szCs w:val="18"/>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07E16F6E" w14:textId="77777777" w:rsidR="003C61A8" w:rsidRDefault="003C61A8">
            <w:pPr>
              <w:rPr>
                <w:rFonts w:ascii="Times" w:hAnsi="Times"/>
                <w:color w:val="000000"/>
                <w:sz w:val="27"/>
                <w:szCs w:val="27"/>
              </w:rPr>
            </w:pPr>
          </w:p>
        </w:tc>
      </w:tr>
    </w:tbl>
    <w:p w14:paraId="39AA941A"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3F577C81"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0D6BE832" w14:textId="77777777">
              <w:tc>
                <w:tcPr>
                  <w:tcW w:w="0" w:type="auto"/>
                  <w:vAlign w:val="center"/>
                  <w:hideMark/>
                </w:tcPr>
                <w:p w14:paraId="60007A97" w14:textId="77777777" w:rsidR="003C61A8" w:rsidRDefault="003C61A8"/>
              </w:tc>
            </w:tr>
          </w:tbl>
          <w:p w14:paraId="7FB78ADF" w14:textId="77777777" w:rsidR="003C61A8" w:rsidRDefault="003C61A8">
            <w:pPr>
              <w:rPr>
                <w:rFonts w:ascii="Times" w:hAnsi="Times"/>
                <w:color w:val="000000"/>
                <w:sz w:val="27"/>
                <w:szCs w:val="27"/>
              </w:rPr>
            </w:pPr>
          </w:p>
        </w:tc>
      </w:tr>
    </w:tbl>
    <w:p w14:paraId="1A50457F"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188B1A11" w14:textId="77777777" w:rsidTr="003C61A8">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3C61A8" w14:paraId="12111876" w14:textId="77777777">
              <w:tc>
                <w:tcPr>
                  <w:tcW w:w="0" w:type="auto"/>
                  <w:tcMar>
                    <w:top w:w="0" w:type="dxa"/>
                    <w:left w:w="135" w:type="dxa"/>
                    <w:bottom w:w="135" w:type="dxa"/>
                    <w:right w:w="135" w:type="dxa"/>
                  </w:tcMar>
                  <w:hideMark/>
                </w:tcPr>
                <w:p w14:paraId="1486CA71" w14:textId="71E4B8B3" w:rsidR="003C61A8" w:rsidRDefault="003C61A8">
                  <w:r>
                    <w:lastRenderedPageBreak/>
                    <w:fldChar w:fldCharType="begin"/>
                  </w:r>
                  <w:r>
                    <w:instrText xml:space="preserve"> INCLUDEPICTURE "https://mcusercontent.com/0e9feb1606f1b4129a8b65828/_compresseds/7cdb26c6-6fce-ecfd-692c-cc3dbab4ee7b.jpg" \* MERGEFORMATINET </w:instrText>
                  </w:r>
                  <w:r>
                    <w:fldChar w:fldCharType="separate"/>
                  </w:r>
                  <w:r>
                    <w:rPr>
                      <w:noProof/>
                    </w:rPr>
                    <w:drawing>
                      <wp:inline distT="0" distB="0" distL="0" distR="0" wp14:anchorId="49024493" wp14:editId="5D6B212E">
                        <wp:extent cx="6475730" cy="3632200"/>
                        <wp:effectExtent l="0" t="0" r="1270" b="0"/>
                        <wp:docPr id="4" name="Picture 4" descr="A picture containing text, tree,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road, out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5730" cy="3632200"/>
                                </a:xfrm>
                                <a:prstGeom prst="rect">
                                  <a:avLst/>
                                </a:prstGeom>
                                <a:noFill/>
                                <a:ln>
                                  <a:noFill/>
                                </a:ln>
                              </pic:spPr>
                            </pic:pic>
                          </a:graphicData>
                        </a:graphic>
                      </wp:inline>
                    </w:drawing>
                  </w:r>
                  <w:r>
                    <w:fldChar w:fldCharType="end"/>
                  </w:r>
                </w:p>
              </w:tc>
            </w:tr>
            <w:tr w:rsidR="003C61A8" w14:paraId="2E6BCCCA" w14:textId="77777777">
              <w:tc>
                <w:tcPr>
                  <w:tcW w:w="8460" w:type="dxa"/>
                  <w:tcMar>
                    <w:top w:w="0" w:type="dxa"/>
                    <w:left w:w="135" w:type="dxa"/>
                    <w:bottom w:w="0" w:type="dxa"/>
                    <w:right w:w="135" w:type="dxa"/>
                  </w:tcMar>
                  <w:hideMark/>
                </w:tcPr>
                <w:p w14:paraId="34E41E51" w14:textId="77777777" w:rsidR="003C61A8" w:rsidRDefault="003C61A8">
                  <w:pPr>
                    <w:pStyle w:val="NormalWeb"/>
                    <w:spacing w:before="150" w:beforeAutospacing="0" w:after="150" w:afterAutospacing="0" w:line="300" w:lineRule="atLeast"/>
                    <w:rPr>
                      <w:rFonts w:ascii="Verdana" w:hAnsi="Verdana"/>
                      <w:color w:val="000000"/>
                    </w:rPr>
                  </w:pPr>
                  <w:hyperlink r:id="rId15" w:tgtFrame="_blank" w:history="1">
                    <w:r>
                      <w:rPr>
                        <w:rStyle w:val="Strong"/>
                        <w:rFonts w:ascii="Helvetica Neue" w:hAnsi="Helvetica Neue"/>
                        <w:color w:val="4C6AA2"/>
                        <w:sz w:val="30"/>
                        <w:szCs w:val="30"/>
                      </w:rPr>
                      <w:t>Change in Cuba</w:t>
                    </w:r>
                  </w:hyperlink>
                  <w:r>
                    <w:rPr>
                      <w:rFonts w:ascii="Verdana" w:hAnsi="Verdana"/>
                      <w:color w:val="000000"/>
                    </w:rPr>
                    <w:br/>
                  </w:r>
                  <w:r>
                    <w:rPr>
                      <w:rFonts w:ascii="Verdana" w:hAnsi="Verdana"/>
                      <w:color w:val="000000"/>
                    </w:rPr>
                    <w:br/>
                  </w:r>
                  <w:r>
                    <w:rPr>
                      <w:rFonts w:ascii="Helvetica Neue" w:hAnsi="Helvetica Neue"/>
                      <w:color w:val="000000"/>
                      <w:sz w:val="18"/>
                      <w:szCs w:val="18"/>
                    </w:rPr>
                    <w:t>Tony Wood of Princeton University, in the 1 July edition of the </w:t>
                  </w:r>
                  <w:r>
                    <w:rPr>
                      <w:rStyle w:val="Emphasis"/>
                      <w:rFonts w:ascii="Helvetica Neue" w:hAnsi="Helvetica Neue"/>
                      <w:color w:val="000000"/>
                      <w:sz w:val="18"/>
                      <w:szCs w:val="18"/>
                    </w:rPr>
                    <w:t>London Review of Books</w:t>
                  </w:r>
                  <w:r>
                    <w:rPr>
                      <w:rFonts w:ascii="Helvetica Neue" w:hAnsi="Helvetica Neue"/>
                      <w:color w:val="000000"/>
                      <w:sz w:val="18"/>
                      <w:szCs w:val="18"/>
                    </w:rPr>
                    <w:t>, uses a </w:t>
                  </w:r>
                  <w:hyperlink r:id="rId16" w:history="1">
                    <w:r>
                      <w:rPr>
                        <w:rStyle w:val="Hyperlink"/>
                        <w:rFonts w:ascii="Helvetica Neue" w:hAnsi="Helvetica Neue"/>
                        <w:b/>
                        <w:bCs/>
                        <w:color w:val="4C6AA2"/>
                        <w:sz w:val="18"/>
                        <w:szCs w:val="18"/>
                      </w:rPr>
                      <w:t>review</w:t>
                    </w:r>
                  </w:hyperlink>
                  <w:r>
                    <w:rPr>
                      <w:rFonts w:ascii="Helvetica Neue" w:hAnsi="Helvetica Neue"/>
                      <w:color w:val="000000"/>
                      <w:sz w:val="18"/>
                      <w:szCs w:val="18"/>
                    </w:rPr>
                    <w:t xml:space="preserve"> of two recent works on Cuba as a vehicle for surveying Cuba’s </w:t>
                  </w:r>
                  <w:proofErr w:type="spellStart"/>
                  <w:r>
                    <w:rPr>
                      <w:rFonts w:ascii="Helvetica Neue" w:hAnsi="Helvetica Neue"/>
                      <w:color w:val="000000"/>
                      <w:sz w:val="18"/>
                      <w:szCs w:val="18"/>
                    </w:rPr>
                    <w:t>post Cold</w:t>
                  </w:r>
                  <w:proofErr w:type="spellEnd"/>
                  <w:r>
                    <w:rPr>
                      <w:rFonts w:ascii="Helvetica Neue" w:hAnsi="Helvetica Neue"/>
                      <w:color w:val="000000"/>
                      <w:sz w:val="18"/>
                      <w:szCs w:val="18"/>
                    </w:rPr>
                    <w:t xml:space="preserve"> War history. The long-standing US embargoes were tightened in the 1990s; the Cuban people responded with stoicism rather than the political restiveness intended by US policy, although there were anti-government demonstrations in 1994 (the first in 30 years). The economy improved from the late 1990s with reduced dependence on sugar and a better growth rate than elsewhere in Latin America. Fidel Castro’s successor, his brother Raul, reshaped economic and social policy from 2010 after public consultations, instituting reforms comparable to the “socialist market economies” of Vietnam and China. COVID-19 has delivered a severe economic shock, with tourism falling 90 per cent, but death rates have been much lower than in neighbouring countries and 20 times fewer per head than in Britain. Monetary reforms introduced by the current president, Miguel Diaz-</w:t>
                  </w:r>
                  <w:proofErr w:type="spellStart"/>
                  <w:r>
                    <w:rPr>
                      <w:rFonts w:ascii="Helvetica Neue" w:hAnsi="Helvetica Neue"/>
                      <w:color w:val="000000"/>
                      <w:sz w:val="18"/>
                      <w:szCs w:val="18"/>
                    </w:rPr>
                    <w:t>Canel</w:t>
                  </w:r>
                  <w:proofErr w:type="spellEnd"/>
                  <w:r>
                    <w:rPr>
                      <w:rFonts w:ascii="Helvetica Neue" w:hAnsi="Helvetica Neue"/>
                      <w:color w:val="000000"/>
                      <w:sz w:val="18"/>
                      <w:szCs w:val="18"/>
                    </w:rPr>
                    <w:t>, have affected exports and the cost of living. Reductions in US sanctions during the Obama administration were reversed under Trump; the </w:t>
                  </w:r>
                  <w:hyperlink r:id="rId17" w:history="1">
                    <w:r>
                      <w:rPr>
                        <w:rStyle w:val="Hyperlink"/>
                        <w:rFonts w:ascii="Helvetica Neue" w:hAnsi="Helvetica Neue"/>
                        <w:b/>
                        <w:bCs/>
                        <w:color w:val="4C6AA2"/>
                        <w:sz w:val="18"/>
                        <w:szCs w:val="18"/>
                      </w:rPr>
                      <w:t>Biden administration</w:t>
                    </w:r>
                  </w:hyperlink>
                  <w:r>
                    <w:rPr>
                      <w:rFonts w:ascii="Helvetica Neue" w:hAnsi="Helvetica Neue"/>
                      <w:color w:val="000000"/>
                      <w:sz w:val="18"/>
                      <w:szCs w:val="18"/>
                    </w:rPr>
                    <w:t> has given no indication of easing them.</w:t>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"https://unsplash.com/photos/JltzgtntbQ8"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Yerson</w:t>
                  </w:r>
                  <w:proofErr w:type="spellEnd"/>
                  <w:r>
                    <w:rPr>
                      <w:rStyle w:val="Hyperlink"/>
                      <w:rFonts w:ascii="Helvetica Neue" w:hAnsi="Helvetica Neue"/>
                      <w:b/>
                      <w:bCs/>
                      <w:color w:val="4C6AA2"/>
                      <w:sz w:val="17"/>
                      <w:szCs w:val="17"/>
                    </w:rPr>
                    <w:t xml:space="preserve"> Olivares</w:t>
                  </w:r>
                  <w:r>
                    <w:rPr>
                      <w:rFonts w:ascii="Helvetica Neue" w:hAnsi="Helvetica Neue"/>
                      <w:color w:val="000000"/>
                      <w:sz w:val="17"/>
                      <w:szCs w:val="17"/>
                    </w:rPr>
                    <w:fldChar w:fldCharType="end"/>
                  </w:r>
                </w:p>
              </w:tc>
            </w:tr>
          </w:tbl>
          <w:p w14:paraId="789C202B" w14:textId="77777777" w:rsidR="003C61A8" w:rsidRDefault="003C61A8">
            <w:pPr>
              <w:rPr>
                <w:rFonts w:ascii="Times" w:hAnsi="Times"/>
                <w:color w:val="000000"/>
                <w:sz w:val="27"/>
                <w:szCs w:val="27"/>
              </w:rPr>
            </w:pPr>
          </w:p>
        </w:tc>
      </w:tr>
    </w:tbl>
    <w:p w14:paraId="2B73CF2D"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0A2E006D"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64CB4CEA" w14:textId="77777777">
              <w:tc>
                <w:tcPr>
                  <w:tcW w:w="0" w:type="auto"/>
                  <w:vAlign w:val="center"/>
                  <w:hideMark/>
                </w:tcPr>
                <w:p w14:paraId="14DFB263" w14:textId="77777777" w:rsidR="003C61A8" w:rsidRDefault="003C61A8"/>
              </w:tc>
            </w:tr>
          </w:tbl>
          <w:p w14:paraId="66529BC0" w14:textId="77777777" w:rsidR="003C61A8" w:rsidRDefault="003C61A8">
            <w:pPr>
              <w:rPr>
                <w:rFonts w:ascii="Times" w:hAnsi="Times"/>
                <w:color w:val="000000"/>
                <w:sz w:val="27"/>
                <w:szCs w:val="27"/>
              </w:rPr>
            </w:pPr>
          </w:p>
        </w:tc>
      </w:tr>
    </w:tbl>
    <w:p w14:paraId="21D309C0"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55CCEE88"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36E06CCF" w14:textId="77777777">
              <w:tc>
                <w:tcPr>
                  <w:tcW w:w="0" w:type="auto"/>
                  <w:tcMar>
                    <w:top w:w="0" w:type="dxa"/>
                    <w:left w:w="270" w:type="dxa"/>
                    <w:bottom w:w="135" w:type="dxa"/>
                    <w:right w:w="270" w:type="dxa"/>
                  </w:tcMar>
                  <w:hideMark/>
                </w:tcPr>
                <w:p w14:paraId="3829CE69" w14:textId="77777777" w:rsidR="003C61A8" w:rsidRDefault="003C61A8">
                  <w:pPr>
                    <w:spacing w:line="360" w:lineRule="atLeast"/>
                    <w:rPr>
                      <w:rFonts w:ascii="Verdana" w:hAnsi="Verdana"/>
                      <w:color w:val="222222"/>
                    </w:rPr>
                  </w:pPr>
                  <w:r>
                    <w:rPr>
                      <w:rStyle w:val="Emphasis"/>
                      <w:rFonts w:ascii="Helvetica Neue" w:hAnsi="Helvetica Neue"/>
                      <w:color w:val="222222"/>
                      <w:sz w:val="17"/>
                      <w:szCs w:val="17"/>
                    </w:rPr>
                    <w:t xml:space="preserve">This article was selected by Ian Lincoln, President of AIIA NSW since 2017. Ian was in the Department of Foreign Affairs for 33 years including postings in Asia, Africa, </w:t>
                  </w:r>
                  <w:proofErr w:type="gramStart"/>
                  <w:r>
                    <w:rPr>
                      <w:rStyle w:val="Emphasis"/>
                      <w:rFonts w:ascii="Helvetica Neue" w:hAnsi="Helvetica Neue"/>
                      <w:color w:val="222222"/>
                      <w:sz w:val="17"/>
                      <w:szCs w:val="17"/>
                    </w:rPr>
                    <w:t>Europe</w:t>
                  </w:r>
                  <w:proofErr w:type="gramEnd"/>
                  <w:r>
                    <w:rPr>
                      <w:rStyle w:val="Emphasis"/>
                      <w:rFonts w:ascii="Helvetica Neue" w:hAnsi="Helvetica Neue"/>
                      <w:color w:val="222222"/>
                      <w:sz w:val="17"/>
                      <w:szCs w:val="17"/>
                    </w:rPr>
                    <w:t xml:space="preserve"> and the Pacific. He was later an appellate member of the Refugee Review Tribunal and has worked in </w:t>
                  </w:r>
                  <w:proofErr w:type="gramStart"/>
                  <w:r>
                    <w:rPr>
                      <w:rStyle w:val="Emphasis"/>
                      <w:rFonts w:ascii="Helvetica Neue" w:hAnsi="Helvetica Neue"/>
                      <w:color w:val="222222"/>
                      <w:sz w:val="17"/>
                      <w:szCs w:val="17"/>
                    </w:rPr>
                    <w:t>a number of</w:t>
                  </w:r>
                  <w:proofErr w:type="gramEnd"/>
                  <w:r>
                    <w:rPr>
                      <w:rStyle w:val="Emphasis"/>
                      <w:rFonts w:ascii="Helvetica Neue" w:hAnsi="Helvetica Neue"/>
                      <w:color w:val="222222"/>
                      <w:sz w:val="17"/>
                      <w:szCs w:val="17"/>
                    </w:rPr>
                    <w:t xml:space="preserve"> community organisations.</w:t>
                  </w:r>
                </w:p>
              </w:tc>
            </w:tr>
          </w:tbl>
          <w:p w14:paraId="5ABB12CB" w14:textId="77777777" w:rsidR="003C61A8" w:rsidRDefault="003C61A8">
            <w:pPr>
              <w:rPr>
                <w:rFonts w:ascii="Times" w:hAnsi="Times"/>
                <w:color w:val="000000"/>
                <w:sz w:val="27"/>
                <w:szCs w:val="27"/>
              </w:rPr>
            </w:pPr>
          </w:p>
        </w:tc>
      </w:tr>
    </w:tbl>
    <w:p w14:paraId="31E7A9C1"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2F583B3C"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7819DD45" w14:textId="77777777">
              <w:tc>
                <w:tcPr>
                  <w:tcW w:w="0" w:type="auto"/>
                  <w:vAlign w:val="center"/>
                  <w:hideMark/>
                </w:tcPr>
                <w:p w14:paraId="1F681C7E" w14:textId="77777777" w:rsidR="003C61A8" w:rsidRDefault="003C61A8"/>
              </w:tc>
            </w:tr>
          </w:tbl>
          <w:p w14:paraId="134A958F" w14:textId="77777777" w:rsidR="003C61A8" w:rsidRDefault="003C61A8">
            <w:pPr>
              <w:rPr>
                <w:rFonts w:ascii="Times" w:hAnsi="Times"/>
                <w:color w:val="000000"/>
                <w:sz w:val="27"/>
                <w:szCs w:val="27"/>
              </w:rPr>
            </w:pPr>
          </w:p>
        </w:tc>
      </w:tr>
    </w:tbl>
    <w:p w14:paraId="66E52DAF"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6661B400" w14:textId="77777777" w:rsidTr="003C61A8">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3C61A8" w14:paraId="56049C43" w14:textId="77777777">
              <w:tc>
                <w:tcPr>
                  <w:tcW w:w="0" w:type="auto"/>
                  <w:tcMar>
                    <w:top w:w="0" w:type="dxa"/>
                    <w:left w:w="135" w:type="dxa"/>
                    <w:bottom w:w="135" w:type="dxa"/>
                    <w:right w:w="135" w:type="dxa"/>
                  </w:tcMar>
                  <w:hideMark/>
                </w:tcPr>
                <w:p w14:paraId="011677F5" w14:textId="2A32A85B" w:rsidR="003C61A8" w:rsidRDefault="003C61A8">
                  <w:r>
                    <w:lastRenderedPageBreak/>
                    <w:fldChar w:fldCharType="begin"/>
                  </w:r>
                  <w:r>
                    <w:instrText xml:space="preserve"> INCLUDEPICTURE "https://mcusercontent.com/0e9feb1606f1b4129a8b65828/_compresseds/4bbed901-a5c6-ad3a-596e-ee068248ccb5.jpg" \* MERGEFORMATINET </w:instrText>
                  </w:r>
                  <w:r>
                    <w:fldChar w:fldCharType="separate"/>
                  </w:r>
                  <w:r>
                    <w:rPr>
                      <w:noProof/>
                    </w:rPr>
                    <w:drawing>
                      <wp:inline distT="0" distB="0" distL="0" distR="0" wp14:anchorId="770D9B3C" wp14:editId="721BA916">
                        <wp:extent cx="6475730" cy="4154170"/>
                        <wp:effectExtent l="0" t="0" r="1270" b="0"/>
                        <wp:docPr id="3" name="Picture 3" descr="A picture containing sky, outdoor, scen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scene, roa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5730" cy="4154170"/>
                                </a:xfrm>
                                <a:prstGeom prst="rect">
                                  <a:avLst/>
                                </a:prstGeom>
                                <a:noFill/>
                                <a:ln>
                                  <a:noFill/>
                                </a:ln>
                              </pic:spPr>
                            </pic:pic>
                          </a:graphicData>
                        </a:graphic>
                      </wp:inline>
                    </w:drawing>
                  </w:r>
                  <w:r>
                    <w:fldChar w:fldCharType="end"/>
                  </w:r>
                </w:p>
              </w:tc>
            </w:tr>
            <w:tr w:rsidR="003C61A8" w14:paraId="2F96745D" w14:textId="77777777">
              <w:tc>
                <w:tcPr>
                  <w:tcW w:w="8445" w:type="dxa"/>
                  <w:tcMar>
                    <w:top w:w="0" w:type="dxa"/>
                    <w:left w:w="135" w:type="dxa"/>
                    <w:bottom w:w="0" w:type="dxa"/>
                    <w:right w:w="135" w:type="dxa"/>
                  </w:tcMar>
                  <w:hideMark/>
                </w:tcPr>
                <w:p w14:paraId="09EBA144" w14:textId="77777777" w:rsidR="003C61A8" w:rsidRDefault="003C61A8">
                  <w:pPr>
                    <w:pStyle w:val="NormalWeb"/>
                    <w:spacing w:before="150" w:beforeAutospacing="0" w:after="150" w:afterAutospacing="0" w:line="300" w:lineRule="atLeast"/>
                    <w:rPr>
                      <w:rFonts w:ascii="Verdana" w:hAnsi="Verdana"/>
                      <w:color w:val="000000"/>
                    </w:rPr>
                  </w:pPr>
                  <w:hyperlink r:id="rId19" w:tgtFrame="_blank" w:history="1">
                    <w:r>
                      <w:rPr>
                        <w:rStyle w:val="Hyperlink"/>
                        <w:rFonts w:ascii="Helvetica Neue" w:hAnsi="Helvetica Neue"/>
                        <w:b/>
                        <w:bCs/>
                        <w:color w:val="4C6AA2"/>
                        <w:sz w:val="30"/>
                        <w:szCs w:val="30"/>
                      </w:rPr>
                      <w:t>As Australia’s Strategic Environment Changes, Foreign Policy Funding Must Change Too</w:t>
                    </w:r>
                  </w:hyperlink>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 xml:space="preserve">Does Australia lack a foreign policy think tank sector of sufficient size and breadth? According to Danielle Cave and Fergus Hanson at the Australian Strategic Policy Institute, the answer is yes. Australia’s strategic environment has changed dramatically over the past decade, meaning we must be able to </w:t>
                  </w:r>
                  <w:proofErr w:type="gramStart"/>
                  <w:r>
                    <w:rPr>
                      <w:rFonts w:ascii="Helvetica Neue" w:hAnsi="Helvetica Neue"/>
                      <w:color w:val="000000"/>
                      <w:sz w:val="18"/>
                      <w:szCs w:val="18"/>
                    </w:rPr>
                    <w:t>more rapidly reshuffle our limited foreign policy resources</w:t>
                  </w:r>
                  <w:proofErr w:type="gramEnd"/>
                  <w:r>
                    <w:rPr>
                      <w:rFonts w:ascii="Helvetica Neue" w:hAnsi="Helvetica Neue"/>
                      <w:color w:val="000000"/>
                      <w:sz w:val="18"/>
                      <w:szCs w:val="18"/>
                    </w:rPr>
                    <w:t xml:space="preserve"> towards new and emerging issues. According to the authors, the only way governments can stay on top of these issues is through leveraging policy-relevant analysis and research. And increased funding to the think tank sector is only part of the answer.</w:t>
                  </w:r>
                  <w:r>
                    <w:rPr>
                      <w:rFonts w:ascii="Helvetica Neue" w:hAnsi="Helvetica Neue"/>
                      <w:color w:val="000000"/>
                    </w:rPr>
                    <w:br/>
                  </w:r>
                  <w:r>
                    <w:rPr>
                      <w:rFonts w:ascii="Helvetica Neue" w:hAnsi="Helvetica Neue"/>
                      <w:color w:val="000000"/>
                      <w:sz w:val="17"/>
                      <w:szCs w:val="17"/>
                    </w:rPr>
                    <w:t>Image credit: </w:t>
                  </w:r>
                  <w:hyperlink r:id="rId20" w:tgtFrame="_blank" w:history="1">
                    <w:r>
                      <w:rPr>
                        <w:rStyle w:val="Hyperlink"/>
                        <w:rFonts w:ascii="Helvetica Neue" w:hAnsi="Helvetica Neue"/>
                        <w:b/>
                        <w:bCs/>
                        <w:color w:val="4C6AA2"/>
                        <w:sz w:val="17"/>
                        <w:szCs w:val="17"/>
                      </w:rPr>
                      <w:t>Social Estate</w:t>
                    </w:r>
                  </w:hyperlink>
                </w:p>
              </w:tc>
            </w:tr>
          </w:tbl>
          <w:p w14:paraId="39FAD247" w14:textId="77777777" w:rsidR="003C61A8" w:rsidRDefault="003C61A8">
            <w:pPr>
              <w:rPr>
                <w:rFonts w:ascii="Times" w:hAnsi="Times"/>
                <w:color w:val="000000"/>
                <w:sz w:val="27"/>
                <w:szCs w:val="27"/>
              </w:rPr>
            </w:pPr>
          </w:p>
        </w:tc>
      </w:tr>
    </w:tbl>
    <w:p w14:paraId="4D434568"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2DF04492" w14:textId="77777777" w:rsidTr="003C61A8">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C61A8" w14:paraId="7C789CA3" w14:textId="77777777">
              <w:tc>
                <w:tcPr>
                  <w:tcW w:w="0" w:type="auto"/>
                  <w:vAlign w:val="center"/>
                  <w:hideMark/>
                </w:tcPr>
                <w:p w14:paraId="28CA85B8" w14:textId="77777777" w:rsidR="003C61A8" w:rsidRDefault="003C61A8"/>
              </w:tc>
            </w:tr>
          </w:tbl>
          <w:p w14:paraId="3A1E0D48" w14:textId="77777777" w:rsidR="003C61A8" w:rsidRDefault="003C61A8">
            <w:pPr>
              <w:rPr>
                <w:rFonts w:ascii="Times" w:hAnsi="Times"/>
                <w:color w:val="000000"/>
                <w:sz w:val="27"/>
                <w:szCs w:val="27"/>
              </w:rPr>
            </w:pPr>
          </w:p>
        </w:tc>
      </w:tr>
    </w:tbl>
    <w:p w14:paraId="75835E77"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6F14D569" w14:textId="77777777" w:rsidTr="003C61A8">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198C879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C61A8" w14:paraId="6B85228D" w14:textId="77777777">
                    <w:tc>
                      <w:tcPr>
                        <w:tcW w:w="0" w:type="auto"/>
                        <w:shd w:val="clear" w:color="auto" w:fill="4B6AA2"/>
                        <w:tcMar>
                          <w:top w:w="270" w:type="dxa"/>
                          <w:left w:w="270" w:type="dxa"/>
                          <w:bottom w:w="270" w:type="dxa"/>
                          <w:right w:w="270" w:type="dxa"/>
                        </w:tcMar>
                        <w:hideMark/>
                      </w:tcPr>
                      <w:p w14:paraId="4BCBFBBB" w14:textId="77777777" w:rsidR="003C61A8" w:rsidRDefault="003C61A8">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6D8B7175" w14:textId="77777777" w:rsidR="003C61A8" w:rsidRDefault="003C61A8">
                  <w:pPr>
                    <w:rPr>
                      <w:rFonts w:ascii="Times New Roman" w:hAnsi="Times New Roman"/>
                    </w:rPr>
                  </w:pPr>
                </w:p>
              </w:tc>
            </w:tr>
          </w:tbl>
          <w:p w14:paraId="3F3BAAD0" w14:textId="77777777" w:rsidR="003C61A8" w:rsidRDefault="003C61A8">
            <w:pPr>
              <w:rPr>
                <w:rFonts w:ascii="Times" w:hAnsi="Times"/>
                <w:color w:val="000000"/>
                <w:sz w:val="27"/>
                <w:szCs w:val="27"/>
              </w:rPr>
            </w:pPr>
          </w:p>
        </w:tc>
      </w:tr>
    </w:tbl>
    <w:p w14:paraId="0D4C13E9"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0B096312"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54040E66" w14:textId="77777777">
              <w:tc>
                <w:tcPr>
                  <w:tcW w:w="0" w:type="auto"/>
                  <w:tcMar>
                    <w:top w:w="0" w:type="dxa"/>
                    <w:left w:w="270" w:type="dxa"/>
                    <w:bottom w:w="135" w:type="dxa"/>
                    <w:right w:w="270" w:type="dxa"/>
                  </w:tcMar>
                  <w:hideMark/>
                </w:tcPr>
                <w:p w14:paraId="3AA48160" w14:textId="77777777" w:rsidR="003C61A8" w:rsidRDefault="003C61A8">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new interns Niki Beri and Grace Bui discuss ongoing legal battles in Israel and Taiwan's response to COVID-19</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our interns are their own. The Australian Institute of International Affairs New South Wales does not take policy positions.</w:t>
                  </w:r>
                </w:p>
              </w:tc>
            </w:tr>
          </w:tbl>
          <w:p w14:paraId="3AA946AE" w14:textId="77777777" w:rsidR="003C61A8" w:rsidRDefault="003C61A8">
            <w:pPr>
              <w:rPr>
                <w:rFonts w:ascii="Times" w:hAnsi="Times"/>
                <w:color w:val="000000"/>
                <w:sz w:val="27"/>
                <w:szCs w:val="27"/>
              </w:rPr>
            </w:pPr>
          </w:p>
        </w:tc>
      </w:tr>
    </w:tbl>
    <w:p w14:paraId="022A6590"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69E93B53"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651AB08D" w14:textId="77777777">
              <w:tc>
                <w:tcPr>
                  <w:tcW w:w="0" w:type="auto"/>
                  <w:vAlign w:val="center"/>
                  <w:hideMark/>
                </w:tcPr>
                <w:p w14:paraId="2F86E562" w14:textId="77777777" w:rsidR="003C61A8" w:rsidRDefault="003C61A8"/>
              </w:tc>
            </w:tr>
          </w:tbl>
          <w:p w14:paraId="4BF3FACC" w14:textId="77777777" w:rsidR="003C61A8" w:rsidRDefault="003C61A8">
            <w:pPr>
              <w:rPr>
                <w:rFonts w:ascii="Times" w:hAnsi="Times"/>
                <w:color w:val="000000"/>
                <w:sz w:val="27"/>
                <w:szCs w:val="27"/>
              </w:rPr>
            </w:pPr>
          </w:p>
        </w:tc>
      </w:tr>
    </w:tbl>
    <w:p w14:paraId="3395C97A"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356DE7B1" w14:textId="77777777" w:rsidTr="003C61A8">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3C61A8" w14:paraId="1FFB5240" w14:textId="77777777">
              <w:tc>
                <w:tcPr>
                  <w:tcW w:w="0" w:type="auto"/>
                  <w:tcMar>
                    <w:top w:w="0" w:type="dxa"/>
                    <w:left w:w="135" w:type="dxa"/>
                    <w:bottom w:w="135" w:type="dxa"/>
                    <w:right w:w="135" w:type="dxa"/>
                  </w:tcMar>
                  <w:hideMark/>
                </w:tcPr>
                <w:p w14:paraId="145F1D7F" w14:textId="4FE06437" w:rsidR="003C61A8" w:rsidRDefault="003C61A8">
                  <w:pPr>
                    <w:jc w:val="right"/>
                  </w:pPr>
                  <w:r>
                    <w:fldChar w:fldCharType="begin"/>
                  </w:r>
                  <w:r>
                    <w:instrText xml:space="preserve"> INCLUDEPICTURE "https://mcusercontent.com/0e9feb1606f1b4129a8b65828/images/8b3562a0-b7b5-3f9b-ac4c-a078670694de.jpg" \* MERGEFORMATINET </w:instrText>
                  </w:r>
                  <w:r>
                    <w:fldChar w:fldCharType="separate"/>
                  </w:r>
                  <w:r>
                    <w:rPr>
                      <w:noProof/>
                    </w:rPr>
                    <w:drawing>
                      <wp:inline distT="0" distB="0" distL="0" distR="0" wp14:anchorId="600932D9" wp14:editId="030E1FA3">
                        <wp:extent cx="6475730" cy="4316730"/>
                        <wp:effectExtent l="0" t="0" r="1270" b="1270"/>
                        <wp:docPr id="2" name="Picture 2"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sign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r w:rsidR="003C61A8" w14:paraId="258B9B08" w14:textId="77777777">
              <w:tc>
                <w:tcPr>
                  <w:tcW w:w="8445" w:type="dxa"/>
                  <w:tcMar>
                    <w:top w:w="0" w:type="dxa"/>
                    <w:left w:w="135" w:type="dxa"/>
                    <w:bottom w:w="0" w:type="dxa"/>
                    <w:right w:w="135" w:type="dxa"/>
                  </w:tcMar>
                  <w:hideMark/>
                </w:tcPr>
                <w:p w14:paraId="078F352C" w14:textId="77777777" w:rsidR="003C61A8" w:rsidRDefault="003C61A8">
                  <w:pPr>
                    <w:pStyle w:val="Heading1"/>
                    <w:spacing w:before="0" w:beforeAutospacing="0" w:after="0" w:afterAutospacing="0" w:line="488" w:lineRule="atLeast"/>
                    <w:rPr>
                      <w:rFonts w:ascii="Arial" w:hAnsi="Arial"/>
                      <w:color w:val="222222"/>
                      <w:spacing w:val="-15"/>
                      <w:sz w:val="39"/>
                      <w:szCs w:val="39"/>
                    </w:rPr>
                  </w:pPr>
                  <w:hyperlink r:id="rId22" w:tgtFrame="_blank" w:history="1">
                    <w:r>
                      <w:rPr>
                        <w:rStyle w:val="Hyperlink"/>
                        <w:rFonts w:ascii="Helvetica Neue" w:hAnsi="Helvetica Neue"/>
                        <w:color w:val="4C6AA2"/>
                        <w:spacing w:val="-15"/>
                        <w:sz w:val="30"/>
                        <w:szCs w:val="30"/>
                      </w:rPr>
                      <w:t>Flash point: Israeli Court offers deal on Palestinians facing eviction</w:t>
                    </w:r>
                  </w:hyperlink>
                </w:p>
                <w:p w14:paraId="1BF79D3F" w14:textId="77777777" w:rsidR="003C61A8" w:rsidRDefault="003C61A8">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In the </w:t>
                  </w:r>
                  <w:r>
                    <w:rPr>
                      <w:rStyle w:val="Emphasis"/>
                      <w:rFonts w:ascii="Helvetica Neue" w:hAnsi="Helvetica Neue"/>
                      <w:color w:val="222222"/>
                      <w:sz w:val="18"/>
                      <w:szCs w:val="18"/>
                    </w:rPr>
                    <w:t>Sydney Morning</w:t>
                  </w:r>
                  <w:r>
                    <w:rPr>
                      <w:rFonts w:ascii="Helvetica Neue" w:hAnsi="Helvetica Neue"/>
                      <w:color w:val="222222"/>
                      <w:sz w:val="18"/>
                      <w:szCs w:val="18"/>
                    </w:rPr>
                    <w:t> </w:t>
                  </w:r>
                  <w:r>
                    <w:rPr>
                      <w:rStyle w:val="Emphasis"/>
                      <w:rFonts w:ascii="Helvetica Neue" w:hAnsi="Helvetica Neue"/>
                      <w:color w:val="222222"/>
                      <w:sz w:val="18"/>
                      <w:szCs w:val="18"/>
                    </w:rPr>
                    <w:t>Herald</w:t>
                  </w:r>
                  <w:r>
                    <w:rPr>
                      <w:rFonts w:ascii="Helvetica Neue" w:hAnsi="Helvetica Neue"/>
                      <w:color w:val="222222"/>
                      <w:sz w:val="18"/>
                      <w:szCs w:val="18"/>
                    </w:rPr>
                    <w:t>, Shira Rubin </w:t>
                  </w:r>
                  <w:hyperlink r:id="rId23" w:tgtFrame="_blank" w:history="1">
                    <w:r>
                      <w:rPr>
                        <w:rStyle w:val="Hyperlink"/>
                        <w:rFonts w:ascii="Helvetica Neue" w:hAnsi="Helvetica Neue"/>
                        <w:b/>
                        <w:bCs/>
                        <w:color w:val="4C6AA2"/>
                        <w:sz w:val="18"/>
                        <w:szCs w:val="18"/>
                      </w:rPr>
                      <w:t>analyses</w:t>
                    </w:r>
                  </w:hyperlink>
                  <w:r>
                    <w:rPr>
                      <w:rFonts w:ascii="Helvetica Neue" w:hAnsi="Helvetica Neue"/>
                      <w:color w:val="222222"/>
                      <w:sz w:val="18"/>
                      <w:szCs w:val="18"/>
                    </w:rPr>
                    <w:t> the political and historical events that are causing Palestinian families to face eviction in Sheikh Jarrah, Jerusalem. Despite the recent changes in both US and Israeli leadership, Israeli courts are still being used to evict Palestinians over a contested area in East Jerusalem. The continued escalation of violence and tension that has continued between the two states, is now playing out in the community, resulting in a recent 11-day conflict. The four families who applied to the Israeli Supreme Court have been offered a deal that would protect them from eviction but would require them to recognise their evictors, far-right Jewish settlers, as their landlords. The contestation of Sheikh Jarrah has left Palestinians feeling that another attempt has been made to “</w:t>
                  </w:r>
                  <w:proofErr w:type="spellStart"/>
                  <w:r>
                    <w:rPr>
                      <w:rFonts w:ascii="Helvetica Neue" w:hAnsi="Helvetica Neue"/>
                      <w:color w:val="222222"/>
                      <w:sz w:val="18"/>
                      <w:szCs w:val="18"/>
                    </w:rPr>
                    <w:t>Judaise</w:t>
                  </w:r>
                  <w:proofErr w:type="spellEnd"/>
                  <w:r>
                    <w:rPr>
                      <w:rFonts w:ascii="Helvetica Neue" w:hAnsi="Helvetica Neue"/>
                      <w:color w:val="222222"/>
                      <w:sz w:val="18"/>
                      <w:szCs w:val="18"/>
                    </w:rPr>
                    <w:t>” Jerusalem, and the Jewish community feeling outraged that their claim to the land is being disputed.</w:t>
                  </w:r>
                </w:p>
                <w:p w14:paraId="05583F93" w14:textId="77777777" w:rsidR="003C61A8" w:rsidRDefault="003C61A8">
                  <w:pPr>
                    <w:spacing w:line="300" w:lineRule="atLeast"/>
                    <w:rPr>
                      <w:rFonts w:ascii="Verdana" w:hAnsi="Verdana"/>
                      <w:color w:val="222222"/>
                    </w:rPr>
                  </w:pPr>
                  <w:r>
                    <w:rPr>
                      <w:rFonts w:ascii="Helvetica Neue" w:hAnsi="Helvetica Neue"/>
                      <w:color w:val="222222"/>
                      <w:sz w:val="17"/>
                      <w:szCs w:val="17"/>
                    </w:rPr>
                    <w:t>Image Credit: </w:t>
                  </w:r>
                  <w:hyperlink r:id="rId24" w:tgtFrame="_blank" w:history="1">
                    <w:r>
                      <w:rPr>
                        <w:rStyle w:val="Hyperlink"/>
                        <w:rFonts w:ascii="Helvetica Neue" w:hAnsi="Helvetica Neue"/>
                        <w:b/>
                        <w:bCs/>
                        <w:color w:val="4C6AA2"/>
                        <w:sz w:val="17"/>
                        <w:szCs w:val="17"/>
                      </w:rPr>
                      <w:t>Lisa Goldman</w:t>
                    </w:r>
                  </w:hyperlink>
                </w:p>
              </w:tc>
            </w:tr>
          </w:tbl>
          <w:p w14:paraId="77C75752" w14:textId="77777777" w:rsidR="003C61A8" w:rsidRDefault="003C61A8">
            <w:pPr>
              <w:rPr>
                <w:rFonts w:ascii="Times" w:hAnsi="Times"/>
                <w:color w:val="000000"/>
                <w:sz w:val="27"/>
                <w:szCs w:val="27"/>
              </w:rPr>
            </w:pPr>
          </w:p>
        </w:tc>
      </w:tr>
    </w:tbl>
    <w:p w14:paraId="545E315D"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5FE9BC27"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4694D5C0" w14:textId="77777777">
              <w:tc>
                <w:tcPr>
                  <w:tcW w:w="0" w:type="auto"/>
                  <w:vAlign w:val="center"/>
                  <w:hideMark/>
                </w:tcPr>
                <w:p w14:paraId="3C98A23D" w14:textId="77777777" w:rsidR="003C61A8" w:rsidRDefault="003C61A8"/>
              </w:tc>
            </w:tr>
          </w:tbl>
          <w:p w14:paraId="56D90D8D" w14:textId="77777777" w:rsidR="003C61A8" w:rsidRDefault="003C61A8">
            <w:pPr>
              <w:rPr>
                <w:rFonts w:ascii="Times" w:hAnsi="Times"/>
                <w:color w:val="000000"/>
                <w:sz w:val="27"/>
                <w:szCs w:val="27"/>
              </w:rPr>
            </w:pPr>
          </w:p>
        </w:tc>
      </w:tr>
    </w:tbl>
    <w:p w14:paraId="24E40D85"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46F7A1B6"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57CC15CF" w14:textId="77777777">
              <w:tc>
                <w:tcPr>
                  <w:tcW w:w="0" w:type="auto"/>
                  <w:tcMar>
                    <w:top w:w="0" w:type="dxa"/>
                    <w:left w:w="270" w:type="dxa"/>
                    <w:bottom w:w="135" w:type="dxa"/>
                    <w:right w:w="270" w:type="dxa"/>
                  </w:tcMar>
                  <w:hideMark/>
                </w:tcPr>
                <w:p w14:paraId="5BE769A0" w14:textId="77777777" w:rsidR="003C61A8" w:rsidRDefault="003C61A8">
                  <w:pPr>
                    <w:spacing w:line="360" w:lineRule="atLeast"/>
                    <w:rPr>
                      <w:rFonts w:ascii="Arial" w:hAnsi="Arial"/>
                      <w:color w:val="000000"/>
                    </w:rPr>
                  </w:pPr>
                  <w:r>
                    <w:rPr>
                      <w:rStyle w:val="Emphasis"/>
                      <w:rFonts w:ascii="Helvetica Neue" w:hAnsi="Helvetica Neue"/>
                      <w:color w:val="000000"/>
                      <w:sz w:val="17"/>
                      <w:szCs w:val="17"/>
                    </w:rPr>
                    <w:t xml:space="preserve">This article was selected by Niki Farah. Niki is studying a Bachelor of Arts / Advanced Studies (Politics and International Relations, Music). She is currently a Parliamentary Liaison at </w:t>
                  </w:r>
                  <w:proofErr w:type="spellStart"/>
                  <w:r>
                    <w:rPr>
                      <w:rStyle w:val="Emphasis"/>
                      <w:rFonts w:ascii="Helvetica Neue" w:hAnsi="Helvetica Neue"/>
                      <w:color w:val="000000"/>
                      <w:sz w:val="17"/>
                      <w:szCs w:val="17"/>
                    </w:rPr>
                    <w:t>Jasiri</w:t>
                  </w:r>
                  <w:proofErr w:type="spellEnd"/>
                  <w:r>
                    <w:rPr>
                      <w:rStyle w:val="Emphasis"/>
                      <w:rFonts w:ascii="Helvetica Neue" w:hAnsi="Helvetica Neue"/>
                      <w:color w:val="000000"/>
                      <w:sz w:val="17"/>
                      <w:szCs w:val="17"/>
                    </w:rPr>
                    <w:t xml:space="preserve"> Australia, facilitating the NSW Girls Takeover Parliament program. Niki has also volunteered with non-profit organisations and had the opportunity to teach English for 2 months in Sri Lanka. She is interested in human rights, ethnic conflict and women's issues and rights.</w:t>
                  </w:r>
                </w:p>
              </w:tc>
            </w:tr>
          </w:tbl>
          <w:p w14:paraId="4B6D9B9D" w14:textId="77777777" w:rsidR="003C61A8" w:rsidRDefault="003C61A8">
            <w:pPr>
              <w:rPr>
                <w:rFonts w:ascii="Times" w:hAnsi="Times"/>
                <w:color w:val="000000"/>
                <w:sz w:val="27"/>
                <w:szCs w:val="27"/>
              </w:rPr>
            </w:pPr>
          </w:p>
        </w:tc>
      </w:tr>
    </w:tbl>
    <w:p w14:paraId="2503AE7E"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6C92E20F"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40B374A7" w14:textId="77777777">
              <w:tc>
                <w:tcPr>
                  <w:tcW w:w="0" w:type="auto"/>
                  <w:vAlign w:val="center"/>
                  <w:hideMark/>
                </w:tcPr>
                <w:p w14:paraId="1949D66B" w14:textId="77777777" w:rsidR="003C61A8" w:rsidRDefault="003C61A8"/>
              </w:tc>
            </w:tr>
          </w:tbl>
          <w:p w14:paraId="3F8F03D5" w14:textId="77777777" w:rsidR="003C61A8" w:rsidRDefault="003C61A8">
            <w:pPr>
              <w:rPr>
                <w:rFonts w:ascii="Times" w:hAnsi="Times"/>
                <w:color w:val="000000"/>
                <w:sz w:val="27"/>
                <w:szCs w:val="27"/>
              </w:rPr>
            </w:pPr>
          </w:p>
        </w:tc>
      </w:tr>
    </w:tbl>
    <w:p w14:paraId="59F757ED"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0A0EC7DA" w14:textId="77777777" w:rsidTr="003C61A8">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3C61A8" w14:paraId="547FB882" w14:textId="77777777">
              <w:tc>
                <w:tcPr>
                  <w:tcW w:w="0" w:type="auto"/>
                  <w:tcMar>
                    <w:top w:w="0" w:type="dxa"/>
                    <w:left w:w="135" w:type="dxa"/>
                    <w:bottom w:w="135" w:type="dxa"/>
                    <w:right w:w="135" w:type="dxa"/>
                  </w:tcMar>
                  <w:hideMark/>
                </w:tcPr>
                <w:p w14:paraId="00F51052" w14:textId="44259F62" w:rsidR="003C61A8" w:rsidRDefault="003C61A8">
                  <w:r>
                    <w:lastRenderedPageBreak/>
                    <w:fldChar w:fldCharType="begin"/>
                  </w:r>
                  <w:r>
                    <w:instrText xml:space="preserve"> INCLUDEPICTURE "https://mcusercontent.com/0e9feb1606f1b4129a8b65828/images/66cf016a-7147-fa7a-48ae-52b14b83fb67.jpg" \* MERGEFORMATINET </w:instrText>
                  </w:r>
                  <w:r>
                    <w:fldChar w:fldCharType="separate"/>
                  </w:r>
                  <w:r>
                    <w:rPr>
                      <w:noProof/>
                    </w:rPr>
                    <w:drawing>
                      <wp:inline distT="0" distB="0" distL="0" distR="0" wp14:anchorId="5BF097F4" wp14:editId="3483ECF1">
                        <wp:extent cx="6475730" cy="3677285"/>
                        <wp:effectExtent l="0" t="0" r="1270" b="5715"/>
                        <wp:docPr id="1" name="Picture 1"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5730" cy="3677285"/>
                                </a:xfrm>
                                <a:prstGeom prst="rect">
                                  <a:avLst/>
                                </a:prstGeom>
                                <a:noFill/>
                                <a:ln>
                                  <a:noFill/>
                                </a:ln>
                              </pic:spPr>
                            </pic:pic>
                          </a:graphicData>
                        </a:graphic>
                      </wp:inline>
                    </w:drawing>
                  </w:r>
                  <w:r>
                    <w:fldChar w:fldCharType="end"/>
                  </w:r>
                </w:p>
              </w:tc>
            </w:tr>
            <w:tr w:rsidR="003C61A8" w14:paraId="5174A8D4" w14:textId="77777777">
              <w:tc>
                <w:tcPr>
                  <w:tcW w:w="8445" w:type="dxa"/>
                  <w:tcMar>
                    <w:top w:w="0" w:type="dxa"/>
                    <w:left w:w="135" w:type="dxa"/>
                    <w:bottom w:w="0" w:type="dxa"/>
                    <w:right w:w="135" w:type="dxa"/>
                  </w:tcMar>
                  <w:hideMark/>
                </w:tcPr>
                <w:p w14:paraId="42D63F33" w14:textId="77777777" w:rsidR="003C61A8" w:rsidRDefault="003C61A8">
                  <w:pPr>
                    <w:pStyle w:val="Heading1"/>
                    <w:spacing w:before="0" w:beforeAutospacing="0" w:after="0" w:afterAutospacing="0" w:line="488" w:lineRule="atLeast"/>
                    <w:rPr>
                      <w:rFonts w:ascii="Arial" w:hAnsi="Arial"/>
                      <w:color w:val="000000"/>
                      <w:spacing w:val="-15"/>
                      <w:sz w:val="39"/>
                      <w:szCs w:val="39"/>
                    </w:rPr>
                  </w:pPr>
                  <w:hyperlink r:id="rId26" w:history="1">
                    <w:r>
                      <w:rPr>
                        <w:rStyle w:val="Strong"/>
                        <w:rFonts w:ascii="Helvetica Neue" w:hAnsi="Helvetica Neue"/>
                        <w:b/>
                        <w:bCs/>
                        <w:color w:val="4C6AA2"/>
                        <w:spacing w:val="-15"/>
                        <w:sz w:val="30"/>
                        <w:szCs w:val="30"/>
                      </w:rPr>
                      <w:t>Why Taiwan Is Beating COVID-19 – Again</w:t>
                    </w:r>
                  </w:hyperlink>
                </w:p>
                <w:p w14:paraId="30436304" w14:textId="77777777" w:rsidR="003C61A8" w:rsidRDefault="003C61A8">
                  <w:pPr>
                    <w:pStyle w:val="NormalWeb"/>
                    <w:spacing w:before="150" w:beforeAutospacing="0" w:after="150" w:afterAutospacing="0" w:line="300" w:lineRule="atLeast"/>
                    <w:rPr>
                      <w:rFonts w:ascii="Verdana" w:hAnsi="Verdana"/>
                      <w:color w:val="000000"/>
                    </w:rPr>
                  </w:pPr>
                  <w:r>
                    <w:rPr>
                      <w:rFonts w:ascii="Verdana" w:hAnsi="Verdana"/>
                      <w:color w:val="000000"/>
                    </w:rPr>
                    <w:br/>
                  </w:r>
                  <w:r>
                    <w:rPr>
                      <w:rFonts w:ascii="Helvetica Neue" w:hAnsi="Helvetica Neue"/>
                      <w:color w:val="000000"/>
                      <w:sz w:val="18"/>
                      <w:szCs w:val="18"/>
                    </w:rPr>
                    <w:t>While other early winners of the COVID-19 pandemic like Vietnam, Australia and Singapore are struggling to suppress the Delta variant in 2021, Taiwan has so far consistently responded well to the coronavirus. </w:t>
                  </w:r>
                  <w:r>
                    <w:rPr>
                      <w:rStyle w:val="Emphasis"/>
                      <w:rFonts w:ascii="Helvetica Neue" w:hAnsi="Helvetica Neue"/>
                      <w:color w:val="000000"/>
                      <w:sz w:val="18"/>
                      <w:szCs w:val="18"/>
                    </w:rPr>
                    <w:t>The Diplomat</w:t>
                  </w:r>
                  <w:r>
                    <w:rPr>
                      <w:rFonts w:ascii="Helvetica Neue" w:hAnsi="Helvetica Neue"/>
                      <w:color w:val="000000"/>
                      <w:sz w:val="18"/>
                      <w:szCs w:val="18"/>
                    </w:rPr>
                    <w:t>’s Wayne Soon </w:t>
                  </w:r>
                  <w:hyperlink r:id="rId27" w:tgtFrame="_blank" w:history="1">
                    <w:r>
                      <w:rPr>
                        <w:rStyle w:val="Hyperlink"/>
                        <w:rFonts w:ascii="Helvetica Neue" w:hAnsi="Helvetica Neue"/>
                        <w:b/>
                        <w:bCs/>
                        <w:color w:val="4C6AA2"/>
                        <w:sz w:val="18"/>
                        <w:szCs w:val="18"/>
                      </w:rPr>
                      <w:t>uncovers five factors </w:t>
                    </w:r>
                  </w:hyperlink>
                  <w:r>
                    <w:rPr>
                      <w:rFonts w:ascii="Helvetica Neue" w:hAnsi="Helvetica Neue"/>
                      <w:color w:val="000000"/>
                      <w:sz w:val="18"/>
                      <w:szCs w:val="18"/>
                    </w:rPr>
                    <w:t>that contribute to the successful pandemic management of Taiwan in 2021:</w:t>
                  </w:r>
                </w:p>
                <w:p w14:paraId="243A61FA" w14:textId="77777777" w:rsidR="003C61A8" w:rsidRDefault="003C61A8" w:rsidP="003C61A8">
                  <w:pPr>
                    <w:numPr>
                      <w:ilvl w:val="0"/>
                      <w:numId w:val="39"/>
                    </w:numPr>
                    <w:spacing w:before="100" w:beforeAutospacing="1" w:after="75" w:line="300" w:lineRule="atLeast"/>
                    <w:rPr>
                      <w:rFonts w:ascii="Verdana" w:hAnsi="Verdana"/>
                      <w:color w:val="000000"/>
                    </w:rPr>
                  </w:pPr>
                  <w:r>
                    <w:rPr>
                      <w:rFonts w:ascii="Helvetica Neue" w:hAnsi="Helvetica Neue"/>
                      <w:color w:val="000000"/>
                      <w:sz w:val="18"/>
                      <w:szCs w:val="18"/>
                    </w:rPr>
                    <w:t>Taiwan increased its commitment to long-standing preventive measures, such as masking, quarantining and contact tracing, despite the low numbers of cases and deaths.</w:t>
                  </w:r>
                </w:p>
                <w:p w14:paraId="6ECD7F45" w14:textId="77777777" w:rsidR="003C61A8" w:rsidRDefault="003C61A8" w:rsidP="003C61A8">
                  <w:pPr>
                    <w:numPr>
                      <w:ilvl w:val="0"/>
                      <w:numId w:val="39"/>
                    </w:numPr>
                    <w:spacing w:before="100" w:beforeAutospacing="1" w:after="75" w:line="300" w:lineRule="atLeast"/>
                    <w:rPr>
                      <w:rFonts w:ascii="Verdana" w:hAnsi="Verdana"/>
                      <w:color w:val="000000"/>
                    </w:rPr>
                  </w:pPr>
                  <w:r>
                    <w:rPr>
                      <w:rFonts w:ascii="Helvetica Neue" w:hAnsi="Helvetica Neue"/>
                      <w:color w:val="000000"/>
                      <w:sz w:val="18"/>
                      <w:szCs w:val="18"/>
                    </w:rPr>
                    <w:t>The Taiwanese government was open to receiving feedback from the diaspora and local governments to adjust its pandemic policies in alignment with the needs of the people and the country’s situation.</w:t>
                  </w:r>
                </w:p>
                <w:p w14:paraId="5C9876E5" w14:textId="77777777" w:rsidR="003C61A8" w:rsidRDefault="003C61A8" w:rsidP="003C61A8">
                  <w:pPr>
                    <w:numPr>
                      <w:ilvl w:val="0"/>
                      <w:numId w:val="39"/>
                    </w:numPr>
                    <w:spacing w:before="100" w:beforeAutospacing="1" w:after="75" w:line="300" w:lineRule="atLeast"/>
                    <w:rPr>
                      <w:rFonts w:ascii="Verdana" w:hAnsi="Verdana"/>
                      <w:color w:val="000000"/>
                    </w:rPr>
                  </w:pPr>
                  <w:r>
                    <w:rPr>
                      <w:rFonts w:ascii="Helvetica Neue" w:hAnsi="Helvetica Neue"/>
                      <w:color w:val="000000"/>
                      <w:sz w:val="18"/>
                      <w:szCs w:val="18"/>
                    </w:rPr>
                    <w:t>The Taiwanese people actively held politicians accountable for bad governance during the pandemic.</w:t>
                  </w:r>
                </w:p>
                <w:p w14:paraId="601620B5" w14:textId="77777777" w:rsidR="003C61A8" w:rsidRDefault="003C61A8" w:rsidP="003C61A8">
                  <w:pPr>
                    <w:numPr>
                      <w:ilvl w:val="0"/>
                      <w:numId w:val="39"/>
                    </w:numPr>
                    <w:spacing w:before="100" w:beforeAutospacing="1" w:after="75" w:line="300" w:lineRule="atLeast"/>
                    <w:rPr>
                      <w:rFonts w:ascii="Verdana" w:hAnsi="Verdana"/>
                      <w:color w:val="000000"/>
                    </w:rPr>
                  </w:pPr>
                  <w:r>
                    <w:rPr>
                      <w:rFonts w:ascii="Helvetica Neue" w:hAnsi="Helvetica Neue"/>
                      <w:color w:val="000000"/>
                      <w:sz w:val="18"/>
                      <w:szCs w:val="18"/>
                    </w:rPr>
                    <w:t>Irrespective of their political leanings, most of Taiwan’s media outlets fought disinformation and focused on informing the population about the COVID-19 pandemic with transparency and truth.</w:t>
                  </w:r>
                </w:p>
                <w:p w14:paraId="4BF1A0B6" w14:textId="77777777" w:rsidR="003C61A8" w:rsidRDefault="003C61A8" w:rsidP="003C61A8">
                  <w:pPr>
                    <w:numPr>
                      <w:ilvl w:val="0"/>
                      <w:numId w:val="39"/>
                    </w:numPr>
                    <w:spacing w:before="100" w:beforeAutospacing="1" w:after="75" w:line="300" w:lineRule="atLeast"/>
                    <w:rPr>
                      <w:rFonts w:ascii="Verdana" w:hAnsi="Verdana"/>
                      <w:color w:val="000000"/>
                    </w:rPr>
                  </w:pPr>
                  <w:r>
                    <w:rPr>
                      <w:rFonts w:ascii="Helvetica Neue" w:hAnsi="Helvetica Neue"/>
                      <w:color w:val="000000"/>
                      <w:sz w:val="18"/>
                      <w:szCs w:val="18"/>
                    </w:rPr>
                    <w:t>Taiwan’s good diplomatic and expressions of goodwill, which is evident in </w:t>
                  </w:r>
                  <w:hyperlink r:id="rId28" w:history="1">
                    <w:r>
                      <w:rPr>
                        <w:rStyle w:val="Hyperlink"/>
                        <w:rFonts w:ascii="Helvetica Neue" w:hAnsi="Helvetica Neue"/>
                        <w:b/>
                        <w:bCs/>
                        <w:color w:val="4C6AA2"/>
                        <w:sz w:val="18"/>
                        <w:szCs w:val="18"/>
                      </w:rPr>
                      <w:t>its donation of medical supply overseas</w:t>
                    </w:r>
                  </w:hyperlink>
                  <w:r>
                    <w:rPr>
                      <w:rFonts w:ascii="Helvetica Neue" w:hAnsi="Helvetica Neue"/>
                      <w:color w:val="000000"/>
                      <w:sz w:val="18"/>
                      <w:szCs w:val="18"/>
                    </w:rPr>
                    <w:t>, helped the nation receive vaccines from </w:t>
                  </w:r>
                  <w:hyperlink r:id="rId29" w:history="1">
                    <w:r>
                      <w:rPr>
                        <w:rStyle w:val="Hyperlink"/>
                        <w:rFonts w:ascii="Helvetica Neue" w:hAnsi="Helvetica Neue"/>
                        <w:b/>
                        <w:bCs/>
                        <w:color w:val="4C6AA2"/>
                        <w:sz w:val="18"/>
                        <w:szCs w:val="18"/>
                      </w:rPr>
                      <w:t>other countries</w:t>
                    </w:r>
                  </w:hyperlink>
                  <w:r>
                    <w:rPr>
                      <w:rFonts w:ascii="Helvetica Neue" w:hAnsi="Helvetica Neue"/>
                      <w:color w:val="000000"/>
                      <w:sz w:val="18"/>
                      <w:szCs w:val="18"/>
                    </w:rPr>
                    <w:t>, and thus Taiwan could secure enough and diversify sources of vaccines for its population.</w:t>
                  </w:r>
                </w:p>
                <w:p w14:paraId="0FAF419C" w14:textId="77777777" w:rsidR="003C61A8" w:rsidRDefault="003C61A8">
                  <w:pPr>
                    <w:spacing w:line="300" w:lineRule="atLeast"/>
                    <w:rPr>
                      <w:rFonts w:ascii="Verdana" w:hAnsi="Verdana"/>
                      <w:color w:val="000000"/>
                    </w:rPr>
                  </w:pPr>
                  <w:r>
                    <w:rPr>
                      <w:rFonts w:ascii="Helvetica Neue" w:hAnsi="Helvetica Neue"/>
                      <w:color w:val="000000"/>
                      <w:sz w:val="17"/>
                      <w:szCs w:val="17"/>
                    </w:rPr>
                    <w:t>Image credit: </w:t>
                  </w:r>
                  <w:hyperlink r:id="rId30" w:tgtFrame="_blank" w:history="1">
                    <w:r>
                      <w:rPr>
                        <w:rStyle w:val="Hyperlink"/>
                        <w:rFonts w:ascii="Helvetica Neue" w:hAnsi="Helvetica Neue"/>
                        <w:b/>
                        <w:bCs/>
                        <w:color w:val="4C6AA2"/>
                        <w:sz w:val="17"/>
                        <w:szCs w:val="17"/>
                      </w:rPr>
                      <w:t>Office of the President, ROC (Taiwan)</w:t>
                    </w:r>
                  </w:hyperlink>
                  <w:r>
                    <w:rPr>
                      <w:rFonts w:ascii="Helvetica Neue" w:hAnsi="Helvetica Neue"/>
                      <w:color w:val="000000"/>
                      <w:sz w:val="17"/>
                      <w:szCs w:val="17"/>
                    </w:rPr>
                    <w:t> </w:t>
                  </w:r>
                </w:p>
              </w:tc>
            </w:tr>
          </w:tbl>
          <w:p w14:paraId="037DBED6" w14:textId="77777777" w:rsidR="003C61A8" w:rsidRDefault="003C61A8">
            <w:pPr>
              <w:rPr>
                <w:rFonts w:ascii="Times" w:hAnsi="Times"/>
                <w:color w:val="000000"/>
                <w:sz w:val="27"/>
                <w:szCs w:val="27"/>
              </w:rPr>
            </w:pPr>
          </w:p>
        </w:tc>
      </w:tr>
    </w:tbl>
    <w:p w14:paraId="74159AD5"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286454EE"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21F8DA92" w14:textId="77777777">
              <w:tc>
                <w:tcPr>
                  <w:tcW w:w="0" w:type="auto"/>
                  <w:vAlign w:val="center"/>
                  <w:hideMark/>
                </w:tcPr>
                <w:p w14:paraId="7BE1D6C2" w14:textId="77777777" w:rsidR="003C61A8" w:rsidRDefault="003C61A8"/>
              </w:tc>
            </w:tr>
          </w:tbl>
          <w:p w14:paraId="62E5E3E3" w14:textId="77777777" w:rsidR="003C61A8" w:rsidRDefault="003C61A8">
            <w:pPr>
              <w:rPr>
                <w:rFonts w:ascii="Times" w:hAnsi="Times"/>
                <w:color w:val="000000"/>
                <w:sz w:val="27"/>
                <w:szCs w:val="27"/>
              </w:rPr>
            </w:pPr>
          </w:p>
        </w:tc>
      </w:tr>
    </w:tbl>
    <w:p w14:paraId="2C1B03A8"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4E32BE0F"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4FE8E7AF"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C61A8" w14:paraId="6994451C" w14:textId="77777777">
                    <w:tc>
                      <w:tcPr>
                        <w:tcW w:w="0" w:type="auto"/>
                        <w:vAlign w:val="center"/>
                        <w:hideMark/>
                      </w:tcPr>
                      <w:p w14:paraId="23680BAA" w14:textId="77777777" w:rsidR="003C61A8" w:rsidRDefault="003C61A8">
                        <w:pPr>
                          <w:spacing w:line="360" w:lineRule="atLeast"/>
                        </w:pPr>
                        <w:r>
                          <w:rPr>
                            <w:rStyle w:val="Emphasis"/>
                            <w:rFonts w:ascii="Helvetica Neue" w:hAnsi="Helvetica Neue"/>
                            <w:sz w:val="17"/>
                            <w:szCs w:val="17"/>
                          </w:rPr>
                          <w:t xml:space="preserve">This article was selected by Grace Bui. Grace is currently completing a Bachelor of International Studies and Bachelor of Communications and Media Studies, writing her honours thesis on public diplomacy. She was an editor for Frontier and an International aid and development intern at </w:t>
                        </w:r>
                        <w:proofErr w:type="spellStart"/>
                        <w:r>
                          <w:rPr>
                            <w:rStyle w:val="Emphasis"/>
                            <w:rFonts w:ascii="Helvetica Neue" w:hAnsi="Helvetica Neue"/>
                            <w:sz w:val="17"/>
                            <w:szCs w:val="17"/>
                          </w:rPr>
                          <w:t>DevDAS</w:t>
                        </w:r>
                        <w:proofErr w:type="spellEnd"/>
                        <w:r>
                          <w:rPr>
                            <w:rStyle w:val="Emphasis"/>
                            <w:rFonts w:ascii="Helvetica Neue" w:hAnsi="Helvetica Neue"/>
                            <w:sz w:val="17"/>
                            <w:szCs w:val="17"/>
                          </w:rPr>
                          <w:t xml:space="preserve"> Australia. Her research interests include the public diplomacy programs of small and middle powers, and Australian and Pacific Island politics. </w:t>
                        </w:r>
                      </w:p>
                    </w:tc>
                  </w:tr>
                </w:tbl>
                <w:p w14:paraId="782C2088" w14:textId="77777777" w:rsidR="003C61A8" w:rsidRDefault="003C61A8">
                  <w:pPr>
                    <w:spacing w:line="360" w:lineRule="atLeast"/>
                    <w:rPr>
                      <w:rFonts w:ascii="Verdana" w:hAnsi="Verdana"/>
                      <w:color w:val="000000"/>
                    </w:rPr>
                  </w:pPr>
                </w:p>
              </w:tc>
            </w:tr>
          </w:tbl>
          <w:p w14:paraId="350CFC2B" w14:textId="77777777" w:rsidR="003C61A8" w:rsidRDefault="003C61A8">
            <w:pPr>
              <w:rPr>
                <w:rFonts w:ascii="Times" w:hAnsi="Times"/>
                <w:color w:val="000000"/>
                <w:sz w:val="27"/>
                <w:szCs w:val="27"/>
              </w:rPr>
            </w:pPr>
          </w:p>
        </w:tc>
      </w:tr>
    </w:tbl>
    <w:p w14:paraId="0BB22762"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21717BF7" w14:textId="77777777" w:rsidTr="003C61A8">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C61A8" w14:paraId="55B36C2A" w14:textId="77777777">
              <w:tc>
                <w:tcPr>
                  <w:tcW w:w="0" w:type="auto"/>
                  <w:vAlign w:val="center"/>
                  <w:hideMark/>
                </w:tcPr>
                <w:p w14:paraId="4C9D9D96" w14:textId="77777777" w:rsidR="003C61A8" w:rsidRDefault="003C61A8"/>
              </w:tc>
            </w:tr>
          </w:tbl>
          <w:p w14:paraId="5F497DF1" w14:textId="77777777" w:rsidR="003C61A8" w:rsidRDefault="003C61A8">
            <w:pPr>
              <w:rPr>
                <w:rFonts w:ascii="Times" w:hAnsi="Times"/>
                <w:color w:val="000000"/>
                <w:sz w:val="27"/>
                <w:szCs w:val="27"/>
              </w:rPr>
            </w:pPr>
          </w:p>
        </w:tc>
      </w:tr>
    </w:tbl>
    <w:p w14:paraId="19AD7E69"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1FCAEF34" w14:textId="77777777" w:rsidTr="003C61A8">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1113CF3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C61A8" w14:paraId="70D1882B" w14:textId="77777777">
                    <w:tc>
                      <w:tcPr>
                        <w:tcW w:w="0" w:type="auto"/>
                        <w:shd w:val="clear" w:color="auto" w:fill="4B6AA2"/>
                        <w:tcMar>
                          <w:top w:w="270" w:type="dxa"/>
                          <w:left w:w="270" w:type="dxa"/>
                          <w:bottom w:w="270" w:type="dxa"/>
                          <w:right w:w="270" w:type="dxa"/>
                        </w:tcMar>
                        <w:hideMark/>
                      </w:tcPr>
                      <w:p w14:paraId="2FD74728" w14:textId="77777777" w:rsidR="003C61A8" w:rsidRDefault="003C61A8">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3161D421" w14:textId="77777777" w:rsidR="003C61A8" w:rsidRDefault="003C61A8">
                  <w:pPr>
                    <w:rPr>
                      <w:rFonts w:ascii="Times New Roman" w:hAnsi="Times New Roman"/>
                    </w:rPr>
                  </w:pPr>
                </w:p>
              </w:tc>
            </w:tr>
          </w:tbl>
          <w:p w14:paraId="4001CAB9" w14:textId="77777777" w:rsidR="003C61A8" w:rsidRDefault="003C61A8">
            <w:pPr>
              <w:rPr>
                <w:rFonts w:ascii="Times" w:hAnsi="Times"/>
                <w:color w:val="000000"/>
                <w:sz w:val="27"/>
                <w:szCs w:val="27"/>
              </w:rPr>
            </w:pPr>
          </w:p>
        </w:tc>
      </w:tr>
    </w:tbl>
    <w:p w14:paraId="4747691E"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7A123975"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2A6E59C7" w14:textId="77777777">
              <w:tc>
                <w:tcPr>
                  <w:tcW w:w="0" w:type="auto"/>
                  <w:tcMar>
                    <w:top w:w="0" w:type="dxa"/>
                    <w:left w:w="270" w:type="dxa"/>
                    <w:bottom w:w="135" w:type="dxa"/>
                    <w:right w:w="270" w:type="dxa"/>
                  </w:tcMar>
                  <w:hideMark/>
                </w:tcPr>
                <w:p w14:paraId="19988BD4" w14:textId="77777777" w:rsidR="003C61A8" w:rsidRDefault="003C61A8" w:rsidP="003C61A8">
                  <w:pPr>
                    <w:numPr>
                      <w:ilvl w:val="0"/>
                      <w:numId w:val="40"/>
                    </w:numPr>
                    <w:spacing w:before="100" w:beforeAutospacing="1" w:after="75" w:line="360" w:lineRule="atLeast"/>
                    <w:rPr>
                      <w:rFonts w:ascii="Verdana" w:hAnsi="Verdana"/>
                      <w:color w:val="000000"/>
                    </w:rPr>
                  </w:pPr>
                  <w:r>
                    <w:rPr>
                      <w:rFonts w:ascii="Helvetica Neue" w:hAnsi="Helvetica Neue"/>
                      <w:color w:val="000000"/>
                      <w:sz w:val="18"/>
                      <w:szCs w:val="18"/>
                    </w:rPr>
                    <w:t>Writing in </w:t>
                  </w:r>
                  <w:r>
                    <w:rPr>
                      <w:rStyle w:val="Emphasis"/>
                      <w:rFonts w:ascii="Helvetica Neue" w:hAnsi="Helvetica Neue"/>
                      <w:color w:val="000000"/>
                      <w:sz w:val="18"/>
                      <w:szCs w:val="18"/>
                    </w:rPr>
                    <w:t>Australian Outlook </w:t>
                  </w:r>
                  <w:r>
                    <w:rPr>
                      <w:rFonts w:ascii="Helvetica Neue" w:hAnsi="Helvetica Neue"/>
                      <w:color w:val="000000"/>
                      <w:sz w:val="18"/>
                      <w:szCs w:val="18"/>
                    </w:rPr>
                    <w:t>outgoing AIIA NSW intern Rachel Bell Macdonald </w:t>
                  </w:r>
                  <w:hyperlink r:id="rId31" w:tgtFrame="_blank" w:history="1">
                    <w:r>
                      <w:rPr>
                        <w:rStyle w:val="Hyperlink"/>
                        <w:rFonts w:ascii="Helvetica Neue" w:hAnsi="Helvetica Neue"/>
                        <w:b/>
                        <w:bCs/>
                        <w:color w:val="4C6AA2"/>
                        <w:sz w:val="18"/>
                        <w:szCs w:val="18"/>
                      </w:rPr>
                      <w:t>unpacks</w:t>
                    </w:r>
                  </w:hyperlink>
                  <w:r>
                    <w:rPr>
                      <w:rFonts w:ascii="Helvetica Neue" w:hAnsi="Helvetica Neue"/>
                      <w:color w:val="000000"/>
                      <w:sz w:val="18"/>
                      <w:szCs w:val="18"/>
                    </w:rPr>
                    <w:t> the state of US-UK relations under Biden. </w:t>
                  </w:r>
                </w:p>
                <w:p w14:paraId="0C38F506" w14:textId="77777777" w:rsidR="003C61A8" w:rsidRDefault="003C61A8" w:rsidP="003C61A8">
                  <w:pPr>
                    <w:numPr>
                      <w:ilvl w:val="0"/>
                      <w:numId w:val="40"/>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Foreign Affairs,</w:t>
                  </w:r>
                  <w:r>
                    <w:rPr>
                      <w:rFonts w:ascii="Helvetica Neue" w:hAnsi="Helvetica Neue"/>
                      <w:color w:val="000000"/>
                      <w:sz w:val="18"/>
                      <w:szCs w:val="18"/>
                    </w:rPr>
                    <w:t xml:space="preserve"> Vali Nasr and Maria </w:t>
                  </w:r>
                  <w:proofErr w:type="spellStart"/>
                  <w:r>
                    <w:rPr>
                      <w:rFonts w:ascii="Helvetica Neue" w:hAnsi="Helvetica Neue"/>
                      <w:color w:val="000000"/>
                      <w:sz w:val="18"/>
                      <w:szCs w:val="18"/>
                    </w:rPr>
                    <w:t>Fantappie</w:t>
                  </w:r>
                  <w:proofErr w:type="spellEnd"/>
                  <w:r>
                    <w:rPr>
                      <w:rFonts w:ascii="Helvetica Neue" w:hAnsi="Helvetica Neue"/>
                      <w:color w:val="000000"/>
                      <w:sz w:val="18"/>
                      <w:szCs w:val="18"/>
                    </w:rPr>
                    <w:t> </w:t>
                  </w:r>
                  <w:hyperlink r:id="rId32" w:tgtFrame="_blank" w:history="1">
                    <w:r>
                      <w:rPr>
                        <w:rStyle w:val="Hyperlink"/>
                        <w:rFonts w:ascii="Helvetica Neue" w:hAnsi="Helvetica Neue"/>
                        <w:b/>
                        <w:bCs/>
                        <w:color w:val="4C6AA2"/>
                        <w:sz w:val="18"/>
                        <w:szCs w:val="18"/>
                      </w:rPr>
                      <w:t>examine</w:t>
                    </w:r>
                  </w:hyperlink>
                  <w:r>
                    <w:rPr>
                      <w:rFonts w:ascii="Helvetica Neue" w:hAnsi="Helvetica Neue"/>
                      <w:color w:val="000000"/>
                      <w:sz w:val="18"/>
                      <w:szCs w:val="18"/>
                    </w:rPr>
                    <w:t> how talks between Iran and Saudi Arabia could lead to a renewed hope for peace in the Middle East.</w:t>
                  </w:r>
                </w:p>
                <w:p w14:paraId="001C92B8" w14:textId="77777777" w:rsidR="003C61A8" w:rsidRDefault="003C61A8" w:rsidP="003C61A8">
                  <w:pPr>
                    <w:numPr>
                      <w:ilvl w:val="0"/>
                      <w:numId w:val="40"/>
                    </w:numPr>
                    <w:spacing w:before="100" w:beforeAutospacing="1" w:after="75" w:line="360" w:lineRule="atLeast"/>
                    <w:rPr>
                      <w:rFonts w:ascii="Verdana" w:hAnsi="Verdana"/>
                      <w:color w:val="000000"/>
                    </w:rPr>
                  </w:pPr>
                  <w:r>
                    <w:rPr>
                      <w:rFonts w:ascii="Helvetica Neue" w:hAnsi="Helvetica Neue"/>
                      <w:color w:val="000000"/>
                      <w:sz w:val="18"/>
                      <w:szCs w:val="18"/>
                    </w:rPr>
                    <w:t xml:space="preserve">On the ABC's The Minefield, Waleed Aly and Scott Stephens are joined by the Australia Institute's Jordan </w:t>
                  </w:r>
                  <w:proofErr w:type="spellStart"/>
                  <w:r>
                    <w:rPr>
                      <w:rFonts w:ascii="Helvetica Neue" w:hAnsi="Helvetica Neue"/>
                      <w:color w:val="000000"/>
                      <w:sz w:val="18"/>
                      <w:szCs w:val="18"/>
                    </w:rPr>
                    <w:t>Guiao</w:t>
                  </w:r>
                  <w:proofErr w:type="spellEnd"/>
                  <w:r>
                    <w:rPr>
                      <w:rFonts w:ascii="Helvetica Neue" w:hAnsi="Helvetica Neue"/>
                      <w:color w:val="000000"/>
                      <w:sz w:val="18"/>
                      <w:szCs w:val="18"/>
                    </w:rPr>
                    <w:t xml:space="preserve"> to </w:t>
                  </w:r>
                  <w:hyperlink r:id="rId33" w:tgtFrame="_blank" w:history="1">
                    <w:r>
                      <w:rPr>
                        <w:rStyle w:val="Hyperlink"/>
                        <w:rFonts w:ascii="Helvetica Neue" w:hAnsi="Helvetica Neue"/>
                        <w:b/>
                        <w:bCs/>
                        <w:color w:val="4C6AA2"/>
                        <w:sz w:val="18"/>
                        <w:szCs w:val="18"/>
                      </w:rPr>
                      <w:t>discuss</w:t>
                    </w:r>
                  </w:hyperlink>
                  <w:r>
                    <w:rPr>
                      <w:rFonts w:ascii="Helvetica Neue" w:hAnsi="Helvetica Neue"/>
                      <w:color w:val="000000"/>
                      <w:sz w:val="18"/>
                      <w:szCs w:val="18"/>
                    </w:rPr>
                    <w:t> the ethics of space tourism.</w:t>
                  </w:r>
                </w:p>
                <w:p w14:paraId="63353E69" w14:textId="77777777" w:rsidR="003C61A8" w:rsidRDefault="003C61A8" w:rsidP="003C61A8">
                  <w:pPr>
                    <w:numPr>
                      <w:ilvl w:val="0"/>
                      <w:numId w:val="40"/>
                    </w:numPr>
                    <w:spacing w:before="100" w:beforeAutospacing="1" w:after="75" w:line="360" w:lineRule="atLeast"/>
                    <w:rPr>
                      <w:rFonts w:ascii="Verdana" w:hAnsi="Verdana"/>
                      <w:color w:val="000000"/>
                    </w:rPr>
                  </w:pPr>
                  <w:r>
                    <w:rPr>
                      <w:rFonts w:ascii="Helvetica Neue" w:hAnsi="Helvetica Neue"/>
                      <w:color w:val="000000"/>
                      <w:sz w:val="18"/>
                      <w:szCs w:val="18"/>
                    </w:rPr>
                    <w:t xml:space="preserve">Indian government data reveals that tourism and business has somewhat returned the Kashmir region to a state of peace, but </w:t>
                  </w:r>
                  <w:proofErr w:type="spellStart"/>
                  <w:r>
                    <w:rPr>
                      <w:rFonts w:ascii="Helvetica Neue" w:hAnsi="Helvetica Neue"/>
                      <w:color w:val="000000"/>
                      <w:sz w:val="18"/>
                      <w:szCs w:val="18"/>
                    </w:rPr>
                    <w:t>Anchal</w:t>
                  </w:r>
                  <w:proofErr w:type="spellEnd"/>
                  <w:r>
                    <w:rPr>
                      <w:rFonts w:ascii="Helvetica Neue" w:hAnsi="Helvetica Neue"/>
                      <w:color w:val="000000"/>
                      <w:sz w:val="18"/>
                      <w:szCs w:val="18"/>
                    </w:rPr>
                    <w:t xml:space="preserve"> Vohra </w:t>
                  </w:r>
                  <w:hyperlink r:id="rId34"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in </w:t>
                  </w:r>
                  <w:r>
                    <w:rPr>
                      <w:rStyle w:val="Emphasis"/>
                      <w:rFonts w:ascii="Helvetica Neue" w:hAnsi="Helvetica Neue"/>
                      <w:color w:val="000000"/>
                      <w:sz w:val="18"/>
                      <w:szCs w:val="18"/>
                    </w:rPr>
                    <w:t>Foreign Policy </w:t>
                  </w:r>
                  <w:r>
                    <w:rPr>
                      <w:rFonts w:ascii="Helvetica Neue" w:hAnsi="Helvetica Neue"/>
                      <w:color w:val="000000"/>
                      <w:sz w:val="18"/>
                      <w:szCs w:val="18"/>
                    </w:rPr>
                    <w:t>that the people of Kashmir still feel silenced.</w:t>
                  </w:r>
                </w:p>
                <w:p w14:paraId="0CA82A60" w14:textId="77777777" w:rsidR="003C61A8" w:rsidRDefault="003C61A8" w:rsidP="003C61A8">
                  <w:pPr>
                    <w:numPr>
                      <w:ilvl w:val="0"/>
                      <w:numId w:val="40"/>
                    </w:numPr>
                    <w:spacing w:before="100" w:beforeAutospacing="1" w:after="75" w:line="360" w:lineRule="atLeast"/>
                    <w:rPr>
                      <w:rFonts w:ascii="Verdana" w:hAnsi="Verdana"/>
                      <w:color w:val="000000"/>
                    </w:rPr>
                  </w:pPr>
                  <w:r>
                    <w:rPr>
                      <w:rFonts w:ascii="Helvetica Neue" w:hAnsi="Helvetica Neue"/>
                      <w:color w:val="000000"/>
                      <w:sz w:val="18"/>
                      <w:szCs w:val="18"/>
                    </w:rPr>
                    <w:t>Two recent </w:t>
                  </w:r>
                  <w:r>
                    <w:rPr>
                      <w:rStyle w:val="Emphasis"/>
                      <w:rFonts w:ascii="Helvetica Neue" w:hAnsi="Helvetica Neue"/>
                      <w:color w:val="000000"/>
                      <w:sz w:val="18"/>
                      <w:szCs w:val="18"/>
                    </w:rPr>
                    <w:t>Guardian Australia</w:t>
                  </w:r>
                  <w:r>
                    <w:rPr>
                      <w:rFonts w:ascii="Helvetica Neue" w:hAnsi="Helvetica Neue"/>
                      <w:color w:val="000000"/>
                      <w:sz w:val="18"/>
                      <w:szCs w:val="18"/>
                    </w:rPr>
                    <w:t> articles delve into the </w:t>
                  </w:r>
                  <w:hyperlink r:id="rId35" w:history="1">
                    <w:r>
                      <w:rPr>
                        <w:rStyle w:val="Hyperlink"/>
                        <w:rFonts w:ascii="Helvetica Neue" w:hAnsi="Helvetica Neue"/>
                        <w:b/>
                        <w:bCs/>
                        <w:color w:val="4C6AA2"/>
                        <w:sz w:val="18"/>
                        <w:szCs w:val="18"/>
                      </w:rPr>
                      <w:t>activities</w:t>
                    </w:r>
                  </w:hyperlink>
                  <w:r>
                    <w:rPr>
                      <w:rFonts w:ascii="Helvetica Neue" w:hAnsi="Helvetica Neue"/>
                      <w:color w:val="000000"/>
                      <w:sz w:val="18"/>
                      <w:szCs w:val="18"/>
                    </w:rPr>
                    <w:t xml:space="preserve"> of privately held Israeli company NSO, which markets Pegasus </w:t>
                  </w:r>
                  <w:proofErr w:type="spellStart"/>
                  <w:r>
                    <w:rPr>
                      <w:rFonts w:ascii="Helvetica Neue" w:hAnsi="Helvetica Neue"/>
                      <w:color w:val="000000"/>
                      <w:sz w:val="18"/>
                      <w:szCs w:val="18"/>
                    </w:rPr>
                    <w:t>cyberintelligence</w:t>
                  </w:r>
                  <w:proofErr w:type="spellEnd"/>
                  <w:r>
                    <w:rPr>
                      <w:rFonts w:ascii="Helvetica Neue" w:hAnsi="Helvetica Neue"/>
                      <w:color w:val="000000"/>
                      <w:sz w:val="18"/>
                      <w:szCs w:val="18"/>
                    </w:rPr>
                    <w:t xml:space="preserve"> spyware, and </w:t>
                  </w:r>
                  <w:hyperlink r:id="rId36" w:history="1">
                    <w:r>
                      <w:rPr>
                        <w:rStyle w:val="Hyperlink"/>
                        <w:rFonts w:ascii="Helvetica Neue" w:hAnsi="Helvetica Neue"/>
                        <w:b/>
                        <w:bCs/>
                        <w:color w:val="4C6AA2"/>
                        <w:sz w:val="18"/>
                        <w:szCs w:val="18"/>
                      </w:rPr>
                      <w:t>concerns</w:t>
                    </w:r>
                  </w:hyperlink>
                  <w:r>
                    <w:rPr>
                      <w:rFonts w:ascii="Helvetica Neue" w:hAnsi="Helvetica Neue"/>
                      <w:color w:val="000000"/>
                      <w:sz w:val="18"/>
                      <w:szCs w:val="18"/>
                    </w:rPr>
                    <w:t> raised by its uses.</w:t>
                  </w:r>
                </w:p>
              </w:tc>
            </w:tr>
          </w:tbl>
          <w:p w14:paraId="6676E3E8" w14:textId="77777777" w:rsidR="003C61A8" w:rsidRDefault="003C61A8">
            <w:pPr>
              <w:rPr>
                <w:rFonts w:ascii="Times" w:hAnsi="Times"/>
                <w:color w:val="000000"/>
                <w:sz w:val="27"/>
                <w:szCs w:val="27"/>
              </w:rPr>
            </w:pPr>
          </w:p>
        </w:tc>
      </w:tr>
    </w:tbl>
    <w:p w14:paraId="28333936"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0EB7589C" w14:textId="77777777" w:rsidTr="003C61A8">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C61A8" w14:paraId="752BAF6A" w14:textId="77777777">
              <w:tc>
                <w:tcPr>
                  <w:tcW w:w="0" w:type="auto"/>
                  <w:vAlign w:val="center"/>
                  <w:hideMark/>
                </w:tcPr>
                <w:p w14:paraId="5026A242" w14:textId="77777777" w:rsidR="003C61A8" w:rsidRDefault="003C61A8"/>
              </w:tc>
            </w:tr>
          </w:tbl>
          <w:p w14:paraId="27F575DD" w14:textId="77777777" w:rsidR="003C61A8" w:rsidRDefault="003C61A8">
            <w:pPr>
              <w:rPr>
                <w:rFonts w:ascii="Times" w:hAnsi="Times"/>
                <w:color w:val="000000"/>
                <w:sz w:val="27"/>
                <w:szCs w:val="27"/>
              </w:rPr>
            </w:pPr>
          </w:p>
        </w:tc>
      </w:tr>
    </w:tbl>
    <w:p w14:paraId="2ACF0A6D"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1CCAD47B" w14:textId="77777777" w:rsidTr="003C61A8">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708D2A3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C61A8" w14:paraId="3463A13A" w14:textId="77777777">
                    <w:tc>
                      <w:tcPr>
                        <w:tcW w:w="0" w:type="auto"/>
                        <w:shd w:val="clear" w:color="auto" w:fill="4B6AA2"/>
                        <w:tcMar>
                          <w:top w:w="270" w:type="dxa"/>
                          <w:left w:w="270" w:type="dxa"/>
                          <w:bottom w:w="270" w:type="dxa"/>
                          <w:right w:w="270" w:type="dxa"/>
                        </w:tcMar>
                        <w:hideMark/>
                      </w:tcPr>
                      <w:p w14:paraId="63CFC273" w14:textId="77777777" w:rsidR="003C61A8" w:rsidRDefault="003C61A8">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6D2CF3AD" w14:textId="77777777" w:rsidR="003C61A8" w:rsidRDefault="003C61A8">
                  <w:pPr>
                    <w:rPr>
                      <w:rFonts w:ascii="Times New Roman" w:hAnsi="Times New Roman"/>
                    </w:rPr>
                  </w:pPr>
                </w:p>
              </w:tc>
            </w:tr>
          </w:tbl>
          <w:p w14:paraId="729A1955" w14:textId="77777777" w:rsidR="003C61A8" w:rsidRDefault="003C61A8">
            <w:pPr>
              <w:rPr>
                <w:rFonts w:ascii="Times" w:hAnsi="Times"/>
                <w:color w:val="000000"/>
                <w:sz w:val="27"/>
                <w:szCs w:val="27"/>
              </w:rPr>
            </w:pPr>
          </w:p>
        </w:tc>
      </w:tr>
    </w:tbl>
    <w:p w14:paraId="2C463D3D"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5239E425"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58F780DA" w14:textId="77777777">
              <w:tc>
                <w:tcPr>
                  <w:tcW w:w="0" w:type="auto"/>
                  <w:tcMar>
                    <w:top w:w="0" w:type="dxa"/>
                    <w:left w:w="270" w:type="dxa"/>
                    <w:bottom w:w="135" w:type="dxa"/>
                    <w:right w:w="270" w:type="dxa"/>
                  </w:tcMar>
                  <w:hideMark/>
                </w:tcPr>
                <w:p w14:paraId="1DA81CBD" w14:textId="77777777" w:rsidR="003C61A8" w:rsidRDefault="003C61A8">
                  <w:pPr>
                    <w:spacing w:line="360" w:lineRule="atLeast"/>
                    <w:rPr>
                      <w:rFonts w:ascii="Verdana" w:hAnsi="Verdana"/>
                      <w:color w:val="4C6AA2"/>
                    </w:rPr>
                  </w:pPr>
                  <w:r>
                    <w:rPr>
                      <w:rStyle w:val="Strong"/>
                      <w:rFonts w:ascii="Helvetica Neue" w:hAnsi="Helvetica Neue"/>
                      <w:color w:val="4C6AA2"/>
                      <w:sz w:val="30"/>
                      <w:szCs w:val="30"/>
                    </w:rPr>
                    <w:t>Career Opportunities with Asian Languages</w:t>
                  </w:r>
                  <w:r>
                    <w:rPr>
                      <w:rFonts w:ascii="Verdana" w:hAnsi="Verdana"/>
                      <w:color w:val="4C6AA2"/>
                    </w:rPr>
                    <w:br/>
                  </w:r>
                  <w:r>
                    <w:rPr>
                      <w:rFonts w:ascii="Verdana" w:hAnsi="Verdana"/>
                      <w:color w:val="4C6AA2"/>
                    </w:rPr>
                    <w:br/>
                  </w:r>
                  <w:r>
                    <w:rPr>
                      <w:rFonts w:ascii="Helvetica Neue" w:hAnsi="Helvetica Neue"/>
                      <w:color w:val="000000"/>
                      <w:sz w:val="18"/>
                      <w:szCs w:val="18"/>
                    </w:rPr>
                    <w:t>May I draw your readers' attention to a valuable </w:t>
                  </w:r>
                  <w:hyperlink r:id="rId37" w:tgtFrame="_blank" w:history="1">
                    <w:r>
                      <w:rPr>
                        <w:rStyle w:val="Hyperlink"/>
                        <w:rFonts w:ascii="Helvetica Neue" w:hAnsi="Helvetica Neue"/>
                        <w:b/>
                        <w:bCs/>
                        <w:color w:val="4C6AA2"/>
                        <w:sz w:val="18"/>
                        <w:szCs w:val="18"/>
                      </w:rPr>
                      <w:t>online Zoom panel</w:t>
                    </w:r>
                    <w:r>
                      <w:rPr>
                        <w:rStyle w:val="Hyperlink"/>
                        <w:rFonts w:ascii="Helvetica Neue" w:hAnsi="Helvetica Neue"/>
                        <w:b/>
                        <w:bCs/>
                        <w:color w:val="000000"/>
                        <w:sz w:val="18"/>
                        <w:szCs w:val="18"/>
                      </w:rPr>
                      <w:t> </w:t>
                    </w:r>
                  </w:hyperlink>
                  <w:r>
                    <w:rPr>
                      <w:rFonts w:ascii="Helvetica Neue" w:hAnsi="Helvetica Neue"/>
                      <w:color w:val="000000"/>
                      <w:sz w:val="18"/>
                      <w:szCs w:val="18"/>
                    </w:rPr>
                    <w:t>and Q&amp;A being organised on 2 September by the Australian Society for Asian Humanities on the ways that the study of Asian languages can open up career opportunities? This panel will showcase how Asian language training is useful and relevant across a wide variety of professions, from government to journalism.</w:t>
                  </w:r>
                </w:p>
                <w:p w14:paraId="55632E63" w14:textId="77777777" w:rsidR="003C61A8" w:rsidRDefault="003C61A8">
                  <w:pPr>
                    <w:pStyle w:val="NormalWeb"/>
                    <w:spacing w:before="150" w:beforeAutospacing="0" w:after="150" w:afterAutospacing="0" w:line="360" w:lineRule="atLeast"/>
                    <w:rPr>
                      <w:rFonts w:ascii="Verdana" w:hAnsi="Verdana"/>
                      <w:color w:val="4C6AA2"/>
                    </w:rPr>
                  </w:pPr>
                  <w:r>
                    <w:rPr>
                      <w:rStyle w:val="Emphasis"/>
                      <w:rFonts w:ascii="Helvetica Neue" w:hAnsi="Helvetica Neue"/>
                      <w:b/>
                      <w:bCs/>
                      <w:color w:val="000000"/>
                      <w:sz w:val="18"/>
                      <w:szCs w:val="18"/>
                    </w:rPr>
                    <w:t>Professor Jocelyn Chey, AIIA NSW Councillor</w:t>
                  </w:r>
                </w:p>
              </w:tc>
            </w:tr>
          </w:tbl>
          <w:p w14:paraId="2A1712D3" w14:textId="77777777" w:rsidR="003C61A8" w:rsidRDefault="003C61A8">
            <w:pPr>
              <w:rPr>
                <w:rFonts w:ascii="Times" w:hAnsi="Times"/>
                <w:color w:val="000000"/>
                <w:sz w:val="27"/>
                <w:szCs w:val="27"/>
              </w:rPr>
            </w:pPr>
          </w:p>
        </w:tc>
      </w:tr>
    </w:tbl>
    <w:p w14:paraId="11F241D3"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3CC0F28C" w14:textId="77777777" w:rsidTr="003C61A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C61A8" w14:paraId="0160D5F2" w14:textId="77777777">
              <w:tc>
                <w:tcPr>
                  <w:tcW w:w="0" w:type="auto"/>
                  <w:vAlign w:val="center"/>
                  <w:hideMark/>
                </w:tcPr>
                <w:p w14:paraId="15D40216" w14:textId="77777777" w:rsidR="003C61A8" w:rsidRDefault="003C61A8"/>
              </w:tc>
            </w:tr>
          </w:tbl>
          <w:p w14:paraId="7AFC511E" w14:textId="77777777" w:rsidR="003C61A8" w:rsidRDefault="003C61A8">
            <w:pPr>
              <w:rPr>
                <w:rFonts w:ascii="Times" w:hAnsi="Times"/>
                <w:color w:val="000000"/>
                <w:sz w:val="27"/>
                <w:szCs w:val="27"/>
              </w:rPr>
            </w:pPr>
          </w:p>
        </w:tc>
      </w:tr>
    </w:tbl>
    <w:p w14:paraId="5125B39C"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32C28139" w14:textId="77777777" w:rsidTr="003C61A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C61A8" w14:paraId="70193699" w14:textId="77777777">
              <w:tc>
                <w:tcPr>
                  <w:tcW w:w="0" w:type="auto"/>
                  <w:tcMar>
                    <w:top w:w="0" w:type="dxa"/>
                    <w:left w:w="270" w:type="dxa"/>
                    <w:bottom w:w="135" w:type="dxa"/>
                    <w:right w:w="270" w:type="dxa"/>
                  </w:tcMar>
                  <w:hideMark/>
                </w:tcPr>
                <w:p w14:paraId="2E683DD7" w14:textId="77777777" w:rsidR="003C61A8" w:rsidRDefault="003C61A8">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w:t>
                  </w:r>
                  <w:r>
                    <w:rPr>
                      <w:rFonts w:ascii="Helvetica Neue" w:hAnsi="Helvetica Neue"/>
                      <w:color w:val="000000"/>
                      <w:sz w:val="18"/>
                      <w:szCs w:val="18"/>
                    </w:rPr>
                    <w:lastRenderedPageBreak/>
                    <w:t xml:space="preserve">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8"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12506F17" w14:textId="77777777" w:rsidR="003C61A8" w:rsidRDefault="003C61A8">
            <w:pPr>
              <w:rPr>
                <w:rFonts w:ascii="Times" w:hAnsi="Times"/>
                <w:color w:val="000000"/>
                <w:sz w:val="27"/>
                <w:szCs w:val="27"/>
              </w:rPr>
            </w:pPr>
          </w:p>
        </w:tc>
      </w:tr>
    </w:tbl>
    <w:p w14:paraId="6AE44690" w14:textId="77777777" w:rsidR="003C61A8" w:rsidRDefault="003C61A8" w:rsidP="003C61A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C61A8" w14:paraId="7CEBED9B" w14:textId="77777777" w:rsidTr="003C61A8">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C61A8" w14:paraId="4752168C" w14:textId="77777777">
              <w:tc>
                <w:tcPr>
                  <w:tcW w:w="0" w:type="auto"/>
                  <w:vAlign w:val="center"/>
                  <w:hideMark/>
                </w:tcPr>
                <w:p w14:paraId="527400DE" w14:textId="77777777" w:rsidR="003C61A8" w:rsidRDefault="003C61A8"/>
              </w:tc>
            </w:tr>
          </w:tbl>
          <w:p w14:paraId="3337C0CB" w14:textId="77777777" w:rsidR="003C61A8" w:rsidRDefault="003C61A8">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00000003" w:usb1="00000000" w:usb2="00000000" w:usb3="00000000" w:csb0="00000001" w:csb1="00000000"/>
  </w:font>
  <w:font w:name="Times">
    <w:altName w:val="Times"/>
    <w:panose1 w:val="00000500000000020000"/>
    <w:charset w:val="00"/>
    <w:family w:val="auto"/>
    <w:pitch w:val="variable"/>
    <w:sig w:usb0="00000003" w:usb1="00000000" w:usb2="00000000" w:usb3="00000000" w:csb0="00000001"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338E7"/>
    <w:multiLevelType w:val="multilevel"/>
    <w:tmpl w:val="8770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AB601E"/>
    <w:multiLevelType w:val="multilevel"/>
    <w:tmpl w:val="40EC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7"/>
  </w:num>
  <w:num w:numId="3">
    <w:abstractNumId w:val="16"/>
  </w:num>
  <w:num w:numId="4">
    <w:abstractNumId w:val="14"/>
  </w:num>
  <w:num w:numId="5">
    <w:abstractNumId w:val="4"/>
  </w:num>
  <w:num w:numId="6">
    <w:abstractNumId w:val="17"/>
  </w:num>
  <w:num w:numId="7">
    <w:abstractNumId w:val="18"/>
  </w:num>
  <w:num w:numId="8">
    <w:abstractNumId w:val="8"/>
  </w:num>
  <w:num w:numId="9">
    <w:abstractNumId w:val="23"/>
  </w:num>
  <w:num w:numId="10">
    <w:abstractNumId w:val="9"/>
  </w:num>
  <w:num w:numId="11">
    <w:abstractNumId w:val="12"/>
  </w:num>
  <w:num w:numId="12">
    <w:abstractNumId w:val="31"/>
  </w:num>
  <w:num w:numId="13">
    <w:abstractNumId w:val="6"/>
  </w:num>
  <w:num w:numId="14">
    <w:abstractNumId w:val="33"/>
  </w:num>
  <w:num w:numId="15">
    <w:abstractNumId w:val="0"/>
  </w:num>
  <w:num w:numId="16">
    <w:abstractNumId w:val="21"/>
  </w:num>
  <w:num w:numId="17">
    <w:abstractNumId w:val="36"/>
  </w:num>
  <w:num w:numId="18">
    <w:abstractNumId w:val="25"/>
  </w:num>
  <w:num w:numId="19">
    <w:abstractNumId w:val="1"/>
  </w:num>
  <w:num w:numId="20">
    <w:abstractNumId w:val="30"/>
  </w:num>
  <w:num w:numId="21">
    <w:abstractNumId w:val="20"/>
  </w:num>
  <w:num w:numId="22">
    <w:abstractNumId w:val="29"/>
  </w:num>
  <w:num w:numId="23">
    <w:abstractNumId w:val="5"/>
  </w:num>
  <w:num w:numId="24">
    <w:abstractNumId w:val="24"/>
  </w:num>
  <w:num w:numId="25">
    <w:abstractNumId w:val="22"/>
  </w:num>
  <w:num w:numId="26">
    <w:abstractNumId w:val="3"/>
  </w:num>
  <w:num w:numId="27">
    <w:abstractNumId w:val="11"/>
  </w:num>
  <w:num w:numId="28">
    <w:abstractNumId w:val="13"/>
  </w:num>
  <w:num w:numId="29">
    <w:abstractNumId w:val="34"/>
  </w:num>
  <w:num w:numId="30">
    <w:abstractNumId w:val="27"/>
  </w:num>
  <w:num w:numId="31">
    <w:abstractNumId w:val="35"/>
  </w:num>
  <w:num w:numId="32">
    <w:abstractNumId w:val="10"/>
  </w:num>
  <w:num w:numId="33">
    <w:abstractNumId w:val="39"/>
  </w:num>
  <w:num w:numId="34">
    <w:abstractNumId w:val="26"/>
  </w:num>
  <w:num w:numId="35">
    <w:abstractNumId w:val="2"/>
  </w:num>
  <w:num w:numId="36">
    <w:abstractNumId w:val="37"/>
  </w:num>
  <w:num w:numId="37">
    <w:abstractNumId w:val="19"/>
  </w:num>
  <w:num w:numId="38">
    <w:abstractNumId w:val="15"/>
  </w:num>
  <w:num w:numId="39">
    <w:abstractNumId w:val="28"/>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2D2B26"/>
    <w:rsid w:val="003127A5"/>
    <w:rsid w:val="003C61A8"/>
    <w:rsid w:val="003E04A9"/>
    <w:rsid w:val="003E78B6"/>
    <w:rsid w:val="00417DD1"/>
    <w:rsid w:val="00446DA3"/>
    <w:rsid w:val="00500F2A"/>
    <w:rsid w:val="00620940"/>
    <w:rsid w:val="0066194E"/>
    <w:rsid w:val="0066673F"/>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329FD"/>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234611">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unisvienna/51011282716/in/photolist-2m4WKoX-2m4YGJA-2m4ZEui-zv65wn-2hKHgzt-zdujNs-yycAtx-zsLVzU-zu1AM5-zv658g-2m4Q23v-2m4Q22t-2m4YGKn-2m4UFvq-2jH564t-2kz5Ja1-2kHCvXE-2kHGa9q-2gds4dG-2jPZgpB-sg7B7P-2kLwAj8-2kLsnKV-2kLwApi-2kLsnQu-2kLwAE3-2kLsnUh-2kLw89F-2kLw8ek-pgpJk3-tZvxmJ-tZvxFG-tHhpCC-2kK9qMh-2kK5cfM" TargetMode="External"/><Relationship Id="rId18" Type="http://schemas.openxmlformats.org/officeDocument/2006/relationships/image" Target="media/image5.jpeg"/><Relationship Id="rId26" Type="http://schemas.openxmlformats.org/officeDocument/2006/relationships/hyperlink" Target="https://thediplomat.com/2021/07/why-taiwan-is-beating-covid-19-again/"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yperlink" Target="https://foreignpolicy.com/2021/08/03/modi-took-control-of-kashmir-2-years-ago-and-got-away-with-it/" TargetMode="External"/><Relationship Id="rId7" Type="http://schemas.openxmlformats.org/officeDocument/2006/relationships/image" Target="media/image3.jpeg"/><Relationship Id="rId12" Type="http://schemas.openxmlformats.org/officeDocument/2006/relationships/hyperlink" Target="https://fpcj.jp/en/j_views-en/magazine_articles-en/p=89825/" TargetMode="External"/><Relationship Id="rId17" Type="http://schemas.openxmlformats.org/officeDocument/2006/relationships/hyperlink" Target="https://foreignpolicy.com/2021/07/18/biden-cuba-missed-opportunity-humanitarian-crisis-embargo/" TargetMode="External"/><Relationship Id="rId25" Type="http://schemas.openxmlformats.org/officeDocument/2006/relationships/image" Target="media/image7.jpeg"/><Relationship Id="rId33" Type="http://schemas.openxmlformats.org/officeDocument/2006/relationships/hyperlink" Target="https://www.abc.net.au/radionational/programs/theminefield/the-ethics-of-space-tourism/13473190" TargetMode="External"/><Relationship Id="rId38"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lrb.co.uk/the-paper/v43/n13/tony-wood/you-say-embargo" TargetMode="External"/><Relationship Id="rId20" Type="http://schemas.openxmlformats.org/officeDocument/2006/relationships/hyperlink" Target="https://unsplash.com/photos/P-t9yap_20M" TargetMode="External"/><Relationship Id="rId29" Type="http://schemas.openxmlformats.org/officeDocument/2006/relationships/hyperlink" Target="https://focustaiwan.tw/society/20210715001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bc.net.au/news/2021-07-21/japan-ambassador-yamagami-australia-china/100312044" TargetMode="External"/><Relationship Id="rId24" Type="http://schemas.openxmlformats.org/officeDocument/2006/relationships/hyperlink" Target="https://www.flickr.com/photos/lisang/4295942246/in/photolist-2m1cckC-2kZ2gf2-2m1hWiF-2m1g9YK-2m1mSxR-2m1chPm-2kZDpB1-2m1Coxj-2m65iTw-2kZq2Pd-2m65h8c-2kZq2VW-2m1bgyC-2kXESHX-7LGiiR-7XwY3C-7xBPXL-K76DCD-7CuAFP-7xBN7C-7FAd2F-6GkyYr-7xE76b-2kZ45Xe-7Xj2mv-7G2MYr-2m1bajW-2kYZmxP-2kYa9h1-7XwKvC-2m3AgVP-8QXr3v-98SEiC-98PxDX-7FA9dT-7U2PW3-7U2PTj-6GpD8y-9dQUp5-9dMQcZ-7xBywu-98SDNW-7JPUs2-7UqGhH-8byaYf-6GpD43-8byaZo-9e46y5-2kYdsFL-2kYQJjw/" TargetMode="External"/><Relationship Id="rId32" Type="http://schemas.openxmlformats.org/officeDocument/2006/relationships/hyperlink" Target="https://www.foreignaffairs.com/articles/iran/2021-08-03/how-iran-and-saudi-arabia-can-together-bring-peace-middle-east" TargetMode="External"/><Relationship Id="rId37" Type="http://schemas.openxmlformats.org/officeDocument/2006/relationships/hyperlink" Target="https://www.eventbrite.com.au/e/building-a-career-with-asian-languages-tickets-165609501477"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lrb.co.uk/the-paper/v43/n13/tony-wood/you-say-embargo" TargetMode="External"/><Relationship Id="rId23" Type="http://schemas.openxmlformats.org/officeDocument/2006/relationships/hyperlink" Target="https://www.smh.com.au/world/middle-east/israeli-supreme-court-offers-a-compromise-deal-with-palestinians-facing-eviction-20210803-p58fb3.html" TargetMode="External"/><Relationship Id="rId28" Type="http://schemas.openxmlformats.org/officeDocument/2006/relationships/hyperlink" Target="https://www.taiwannews.com.tw/en/news/3984834" TargetMode="External"/><Relationship Id="rId36" Type="http://schemas.openxmlformats.org/officeDocument/2006/relationships/hyperlink" Target="https://www.theguardian.com/news/2021/aug/02/pegasus-spyware-found-on-journalists-phones-french-intelligence-confirms" TargetMode="External"/><Relationship Id="rId10" Type="http://schemas.openxmlformats.org/officeDocument/2006/relationships/hyperlink" Target="https://iview.abc.net.au/video/NC2111C025S00" TargetMode="External"/><Relationship Id="rId19" Type="http://schemas.openxmlformats.org/officeDocument/2006/relationships/hyperlink" Target="https://www.aspistrategist.org.au/as-australias-strategic-environment-changes-foreign-policy-funding-must-change-too-part-1/" TargetMode="External"/><Relationship Id="rId31" Type="http://schemas.openxmlformats.org/officeDocument/2006/relationships/hyperlink" Target="https://www.internationalaffairs.org.au/australianoutlook/a-transatlantic-honeymoon-not-yet/" TargetMode="External"/><Relationship Id="rId4" Type="http://schemas.openxmlformats.org/officeDocument/2006/relationships/webSettings" Target="webSettings.xml"/><Relationship Id="rId9" Type="http://schemas.openxmlformats.org/officeDocument/2006/relationships/hyperlink" Target="https://www.foreignaffairs.com/articles/china/2021-05-04/surprising-strength-chinese-japanese-ties?utm_medium=" TargetMode="External"/><Relationship Id="rId14" Type="http://schemas.openxmlformats.org/officeDocument/2006/relationships/image" Target="media/image4.jpeg"/><Relationship Id="rId22" Type="http://schemas.openxmlformats.org/officeDocument/2006/relationships/hyperlink" Target="https://www.smh.com.au/world/middle-east/israeli-supreme-court-offers-a-compromise-deal-with-palestinians-facing-eviction-20210803-p58fb3.html" TargetMode="External"/><Relationship Id="rId27" Type="http://schemas.openxmlformats.org/officeDocument/2006/relationships/hyperlink" Target="https://thediplomat.com/2021/07/why-taiwan-is-beating-covid-19-again/" TargetMode="External"/><Relationship Id="rId30" Type="http://schemas.openxmlformats.org/officeDocument/2006/relationships/hyperlink" Target="https://www.flickr.com/photos/presidentialoffice/51315440989/" TargetMode="External"/><Relationship Id="rId35" Type="http://schemas.openxmlformats.org/officeDocument/2006/relationships/hyperlink" Target="https://www.theguardian.com/commentisfree/2021/jul/31/time-to-clip-the-wings-of-nso-and-its-pegasus-spyware" TargetMode="External"/><Relationship Id="rId8" Type="http://schemas.openxmlformats.org/officeDocument/2006/relationships/hyperlink" Target="https://fpcj.jp/en/j_views-en/magazine_articles-en/p=89825/"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2262</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2021-08-13T08:07:00Z</dcterms:created>
  <dcterms:modified xsi:type="dcterms:W3CDTF">2021-08-13T08:07:00Z</dcterms:modified>
</cp:coreProperties>
</file>