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6E44C2" w14:paraId="2C7B27C6" w14:textId="77777777" w:rsidTr="006E44C2">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6E44C2" w14:paraId="47BC9653"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6E44C2" w14:paraId="2DE53C6B"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6E44C2" w14:paraId="15FE68F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6E44C2" w14:paraId="6E17EFA9" w14:textId="77777777">
                                <w:tc>
                                  <w:tcPr>
                                    <w:tcW w:w="0" w:type="auto"/>
                                    <w:tcMar>
                                      <w:top w:w="0" w:type="dxa"/>
                                      <w:left w:w="135" w:type="dxa"/>
                                      <w:bottom w:w="0" w:type="dxa"/>
                                      <w:right w:w="135" w:type="dxa"/>
                                    </w:tcMar>
                                    <w:hideMark/>
                                  </w:tcPr>
                                  <w:p w14:paraId="2429AE7E" w14:textId="2FEC1264" w:rsidR="006E44C2" w:rsidRDefault="006E44C2">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42145839" wp14:editId="427F7D05">
                                          <wp:extent cx="6196330" cy="1342390"/>
                                          <wp:effectExtent l="0" t="0" r="1270" b="3810"/>
                                          <wp:docPr id="21"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sig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6330" cy="1342390"/>
                                                  </a:xfrm>
                                                  <a:prstGeom prst="rect">
                                                    <a:avLst/>
                                                  </a:prstGeom>
                                                  <a:noFill/>
                                                  <a:ln>
                                                    <a:noFill/>
                                                  </a:ln>
                                                </pic:spPr>
                                              </pic:pic>
                                            </a:graphicData>
                                          </a:graphic>
                                        </wp:inline>
                                      </w:drawing>
                                    </w:r>
                                    <w:r>
                                      <w:fldChar w:fldCharType="end"/>
                                    </w:r>
                                  </w:p>
                                </w:tc>
                              </w:tr>
                            </w:tbl>
                            <w:p w14:paraId="27522912" w14:textId="77777777" w:rsidR="006E44C2" w:rsidRDefault="006E44C2"/>
                          </w:tc>
                        </w:tr>
                      </w:tbl>
                      <w:p w14:paraId="5C0E7665"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195EE24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E44C2" w14:paraId="1A4923CA" w14:textId="77777777">
                                <w:tc>
                                  <w:tcPr>
                                    <w:tcW w:w="0" w:type="auto"/>
                                    <w:tcMar>
                                      <w:top w:w="0" w:type="dxa"/>
                                      <w:left w:w="270" w:type="dxa"/>
                                      <w:bottom w:w="135" w:type="dxa"/>
                                      <w:right w:w="270" w:type="dxa"/>
                                    </w:tcMar>
                                    <w:hideMark/>
                                  </w:tcPr>
                                  <w:p w14:paraId="31E0DB48" w14:textId="77777777" w:rsidR="006E44C2" w:rsidRDefault="006E44C2">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22 of:</w:t>
                                    </w:r>
                                  </w:p>
                                </w:tc>
                              </w:tr>
                            </w:tbl>
                            <w:p w14:paraId="02EEAC91" w14:textId="77777777" w:rsidR="006E44C2" w:rsidRDefault="006E44C2">
                              <w:pPr>
                                <w:rPr>
                                  <w:rFonts w:ascii="Times New Roman" w:hAnsi="Times New Roman"/>
                                </w:rPr>
                              </w:pPr>
                            </w:p>
                          </w:tc>
                        </w:tr>
                      </w:tbl>
                      <w:p w14:paraId="681BD96B"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5E441C4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E44C2" w14:paraId="7740D95E" w14:textId="77777777">
                                <w:tc>
                                  <w:tcPr>
                                    <w:tcW w:w="0" w:type="auto"/>
                                    <w:hideMark/>
                                  </w:tcPr>
                                  <w:p w14:paraId="0F70D8FB" w14:textId="62C6515E" w:rsidR="006E44C2" w:rsidRDefault="006E44C2">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21896A69" wp14:editId="12C9CCE6">
                                          <wp:extent cx="6475730" cy="3638550"/>
                                          <wp:effectExtent l="0" t="0" r="1270" b="6350"/>
                                          <wp:docPr id="20" name="Picture 20" descr="A picture containing sitting, front,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itting, front, table, pers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8550"/>
                                                  </a:xfrm>
                                                  <a:prstGeom prst="rect">
                                                    <a:avLst/>
                                                  </a:prstGeom>
                                                  <a:noFill/>
                                                  <a:ln>
                                                    <a:noFill/>
                                                  </a:ln>
                                                </pic:spPr>
                                              </pic:pic>
                                            </a:graphicData>
                                          </a:graphic>
                                        </wp:inline>
                                      </w:drawing>
                                    </w:r>
                                    <w:r>
                                      <w:fldChar w:fldCharType="end"/>
                                    </w:r>
                                  </w:p>
                                </w:tc>
                              </w:tr>
                            </w:tbl>
                            <w:p w14:paraId="0DDFD03B" w14:textId="77777777" w:rsidR="006E44C2" w:rsidRDefault="006E44C2"/>
                          </w:tc>
                        </w:tr>
                      </w:tbl>
                      <w:p w14:paraId="75FCEBFC"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1F012FEC"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E44C2" w14:paraId="37F06DE0" w14:textId="77777777">
                                <w:tc>
                                  <w:tcPr>
                                    <w:tcW w:w="0" w:type="auto"/>
                                    <w:vAlign w:val="center"/>
                                    <w:hideMark/>
                                  </w:tcPr>
                                  <w:p w14:paraId="02F624DA" w14:textId="77777777" w:rsidR="006E44C2" w:rsidRDefault="006E44C2"/>
                                </w:tc>
                              </w:tr>
                            </w:tbl>
                            <w:p w14:paraId="1DB40A70" w14:textId="77777777" w:rsidR="006E44C2" w:rsidRDefault="006E44C2"/>
                          </w:tc>
                        </w:tr>
                      </w:tbl>
                      <w:p w14:paraId="0B984448"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0D2603D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E44C2" w14:paraId="14C68A9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E44C2" w14:paraId="3307E27A" w14:textId="77777777">
                                      <w:tc>
                                        <w:tcPr>
                                          <w:tcW w:w="0" w:type="auto"/>
                                          <w:shd w:val="clear" w:color="auto" w:fill="4B6AA2"/>
                                          <w:tcMar>
                                            <w:top w:w="270" w:type="dxa"/>
                                            <w:left w:w="270" w:type="dxa"/>
                                            <w:bottom w:w="270" w:type="dxa"/>
                                            <w:right w:w="270" w:type="dxa"/>
                                          </w:tcMar>
                                          <w:hideMark/>
                                        </w:tcPr>
                                        <w:p w14:paraId="6B8045EF" w14:textId="77777777" w:rsidR="006E44C2" w:rsidRDefault="006E44C2">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50883783" w14:textId="77777777" w:rsidR="006E44C2" w:rsidRDefault="006E44C2">
                                    <w:pPr>
                                      <w:rPr>
                                        <w:rFonts w:ascii="Times New Roman" w:hAnsi="Times New Roman"/>
                                      </w:rPr>
                                    </w:pPr>
                                  </w:p>
                                </w:tc>
                              </w:tr>
                            </w:tbl>
                            <w:p w14:paraId="1FBF68D9" w14:textId="77777777" w:rsidR="006E44C2" w:rsidRDefault="006E44C2"/>
                          </w:tc>
                        </w:tr>
                      </w:tbl>
                      <w:p w14:paraId="066DC24C"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013C8A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E44C2" w14:paraId="5848AEAC" w14:textId="77777777">
                                <w:tc>
                                  <w:tcPr>
                                    <w:tcW w:w="0" w:type="auto"/>
                                    <w:tcMar>
                                      <w:top w:w="0" w:type="dxa"/>
                                      <w:left w:w="270" w:type="dxa"/>
                                      <w:bottom w:w="135" w:type="dxa"/>
                                      <w:right w:w="270" w:type="dxa"/>
                                    </w:tcMar>
                                    <w:hideMark/>
                                  </w:tcPr>
                                  <w:p w14:paraId="3BC38EC3" w14:textId="77777777" w:rsidR="006E44C2" w:rsidRDefault="006E44C2">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our Councillors reflect on the recent establishment of diplomatic relations between Israel and the United Arab Emirates, an account of the COVID-19 lockdown in Chengdu and the future trajectories of Chinese grand strategy.</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7761E289" w14:textId="77777777" w:rsidR="006E44C2" w:rsidRDefault="006E44C2">
                              <w:pPr>
                                <w:rPr>
                                  <w:rFonts w:ascii="Times New Roman" w:hAnsi="Times New Roman"/>
                                </w:rPr>
                              </w:pPr>
                            </w:p>
                          </w:tc>
                        </w:tr>
                      </w:tbl>
                      <w:p w14:paraId="0AA3874C"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53B4850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E44C2" w14:paraId="56FF43FF" w14:textId="77777777">
                                <w:tc>
                                  <w:tcPr>
                                    <w:tcW w:w="0" w:type="auto"/>
                                    <w:vAlign w:val="center"/>
                                    <w:hideMark/>
                                  </w:tcPr>
                                  <w:p w14:paraId="3E8A3425" w14:textId="77777777" w:rsidR="006E44C2" w:rsidRDefault="006E44C2"/>
                                </w:tc>
                              </w:tr>
                            </w:tbl>
                            <w:p w14:paraId="19E079FC" w14:textId="77777777" w:rsidR="006E44C2" w:rsidRDefault="006E44C2"/>
                          </w:tc>
                        </w:tr>
                      </w:tbl>
                      <w:p w14:paraId="4F6108A8"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74E72A2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E44C2" w14:paraId="4C86803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6E44C2" w14:paraId="0B9AAB72" w14:textId="77777777">
                                      <w:tc>
                                        <w:tcPr>
                                          <w:tcW w:w="0" w:type="auto"/>
                                          <w:hideMark/>
                                        </w:tcPr>
                                        <w:p w14:paraId="5895F311" w14:textId="6C9712E4" w:rsidR="006E44C2" w:rsidRDefault="006E44C2">
                                          <w:r>
                                            <w:lastRenderedPageBreak/>
                                            <w:fldChar w:fldCharType="begin"/>
                                          </w:r>
                                          <w:r>
                                            <w:instrText xml:space="preserve"> INCLUDEPICTURE "https://mcusercontent.com/0e9feb1606f1b4129a8b65828/images/52eb3fcc-4c25-4ae8-9416-a0175e3ccb19.jpg" \* MERGEFORMATINET </w:instrText>
                                          </w:r>
                                          <w:r>
                                            <w:fldChar w:fldCharType="separate"/>
                                          </w:r>
                                          <w:r>
                                            <w:rPr>
                                              <w:noProof/>
                                            </w:rPr>
                                            <w:drawing>
                                              <wp:inline distT="0" distB="0" distL="0" distR="0" wp14:anchorId="2FC4009B" wp14:editId="6B63BEAE">
                                                <wp:extent cx="3355975" cy="4065905"/>
                                                <wp:effectExtent l="0" t="0" r="0" b="0"/>
                                                <wp:docPr id="19" name="Picture 19"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in a suit and ti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5975" cy="406590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E44C2" w14:paraId="4237A950" w14:textId="77777777">
                                      <w:tc>
                                        <w:tcPr>
                                          <w:tcW w:w="0" w:type="auto"/>
                                          <w:hideMark/>
                                        </w:tcPr>
                                        <w:p w14:paraId="47AFE6D7" w14:textId="77777777" w:rsidR="006E44C2" w:rsidRDefault="006E44C2">
                                          <w:pPr>
                                            <w:pStyle w:val="NormalWeb"/>
                                            <w:spacing w:before="150" w:beforeAutospacing="0" w:after="150" w:afterAutospacing="0" w:line="300" w:lineRule="atLeast"/>
                                            <w:rPr>
                                              <w:rFonts w:ascii="Verdana" w:hAnsi="Verdana"/>
                                              <w:color w:val="000000"/>
                                            </w:rPr>
                                          </w:pPr>
                                          <w:r>
                                            <w:rPr>
                                              <w:rStyle w:val="Strong"/>
                                              <w:rFonts w:ascii="Helvetica Neue" w:hAnsi="Helvetica Neue"/>
                                              <w:color w:val="4B6AA2"/>
                                              <w:sz w:val="27"/>
                                              <w:szCs w:val="27"/>
                                            </w:rPr>
                                            <w:t>Israel and the UAE</w:t>
                                          </w:r>
                                          <w:r>
                                            <w:rPr>
                                              <w:rFonts w:ascii="Verdana" w:hAnsi="Verdana"/>
                                              <w:color w:val="000000"/>
                                            </w:rPr>
                                            <w:br/>
                                          </w:r>
                                          <w:r>
                                            <w:rPr>
                                              <w:rFonts w:ascii="Verdana" w:hAnsi="Verdana"/>
                                              <w:color w:val="000000"/>
                                            </w:rPr>
                                            <w:br/>
                                          </w:r>
                                          <w:r>
                                            <w:rPr>
                                              <w:rFonts w:ascii="Helvetica Neue" w:hAnsi="Helvetica Neue"/>
                                              <w:color w:val="000000"/>
                                              <w:sz w:val="18"/>
                                              <w:szCs w:val="18"/>
                                            </w:rPr>
                                            <w:t>Israel and the United Arab Emirates have </w:t>
                                          </w:r>
                                          <w:hyperlink r:id="rId8" w:history="1">
                                            <w:r>
                                              <w:rPr>
                                                <w:rStyle w:val="Hyperlink"/>
                                                <w:rFonts w:ascii="Helvetica Neue" w:hAnsi="Helvetica Neue"/>
                                                <w:b/>
                                                <w:bCs/>
                                                <w:color w:val="4C6AA2"/>
                                                <w:sz w:val="18"/>
                                                <w:szCs w:val="18"/>
                                              </w:rPr>
                                              <w:t>announced</w:t>
                                            </w:r>
                                          </w:hyperlink>
                                          <w:r>
                                            <w:rPr>
                                              <w:rFonts w:ascii="Helvetica Neue" w:hAnsi="Helvetica Neue"/>
                                              <w:color w:val="000000"/>
                                              <w:sz w:val="18"/>
                                              <w:szCs w:val="18"/>
                                            </w:rPr>
                                            <w:t> that they will establish diplomatic relations, heralded by President Trump as a 'historic peace agreement'. The UAE has agreed to steps towards the exchange of embassies and increased tourism and trade links, associated with an Israeli suspension of planned West Bank annexations. In </w:t>
                                          </w:r>
                                          <w:r>
                                            <w:rPr>
                                              <w:rStyle w:val="Emphasis"/>
                                              <w:rFonts w:ascii="Helvetica Neue" w:hAnsi="Helvetica Neue"/>
                                              <w:color w:val="000000"/>
                                              <w:sz w:val="18"/>
                                              <w:szCs w:val="18"/>
                                            </w:rPr>
                                            <w:t>Guardian Australia</w:t>
                                          </w:r>
                                          <w:r>
                                            <w:rPr>
                                              <w:rFonts w:ascii="Helvetica Neue" w:hAnsi="Helvetica Neue"/>
                                              <w:color w:val="000000"/>
                                              <w:sz w:val="18"/>
                                              <w:szCs w:val="18"/>
                                            </w:rPr>
                                            <w:t> articles, Ian Black </w:t>
                                          </w:r>
                                          <w:hyperlink r:id="rId9" w:history="1">
                                            <w:r>
                                              <w:rPr>
                                                <w:rStyle w:val="Hyperlink"/>
                                                <w:rFonts w:ascii="Helvetica Neue" w:hAnsi="Helvetica Neue"/>
                                                <w:b/>
                                                <w:bCs/>
                                                <w:color w:val="4C6AA2"/>
                                                <w:sz w:val="18"/>
                                                <w:szCs w:val="18"/>
                                              </w:rPr>
                                              <w:t>argues</w:t>
                                            </w:r>
                                          </w:hyperlink>
                                          <w:r>
                                            <w:rPr>
                                              <w:rFonts w:ascii="Helvetica Neue" w:hAnsi="Helvetica Neue"/>
                                              <w:color w:val="000000"/>
                                              <w:sz w:val="18"/>
                                              <w:szCs w:val="18"/>
                                            </w:rPr>
                                            <w:t xml:space="preserve"> that this agreement undermines prospects for a two-state solution, while Martin </w:t>
                                          </w:r>
                                          <w:proofErr w:type="spellStart"/>
                                          <w:r>
                                            <w:rPr>
                                              <w:rFonts w:ascii="Helvetica Neue" w:hAnsi="Helvetica Neue"/>
                                              <w:color w:val="000000"/>
                                              <w:sz w:val="18"/>
                                              <w:szCs w:val="18"/>
                                            </w:rPr>
                                            <w:t>Chulov</w:t>
                                          </w:r>
                                          <w:proofErr w:type="spellEnd"/>
                                          <w:r>
                                            <w:rPr>
                                              <w:rFonts w:ascii="Helvetica Neue" w:hAnsi="Helvetica Neue"/>
                                              <w:color w:val="000000"/>
                                              <w:sz w:val="18"/>
                                              <w:szCs w:val="18"/>
                                            </w:rPr>
                                            <w:t> </w:t>
                                          </w:r>
                                          <w:hyperlink r:id="rId10" w:history="1">
                                            <w:r>
                                              <w:rPr>
                                                <w:rStyle w:val="Hyperlink"/>
                                                <w:rFonts w:ascii="Helvetica Neue" w:hAnsi="Helvetica Neue"/>
                                                <w:b/>
                                                <w:bCs/>
                                                <w:color w:val="4C6AA2"/>
                                                <w:sz w:val="18"/>
                                                <w:szCs w:val="18"/>
                                              </w:rPr>
                                              <w:t>suggests</w:t>
                                            </w:r>
                                          </w:hyperlink>
                                          <w:r>
                                            <w:rPr>
                                              <w:rFonts w:ascii="Helvetica Neue" w:hAnsi="Helvetica Neue"/>
                                              <w:color w:val="000000"/>
                                              <w:sz w:val="18"/>
                                              <w:szCs w:val="18"/>
                                            </w:rPr>
                                            <w:t> it may enhance the prospects for the “land for peace” </w:t>
                                          </w:r>
                                          <w:hyperlink r:id="rId11" w:history="1">
                                            <w:r>
                                              <w:rPr>
                                                <w:rStyle w:val="Hyperlink"/>
                                                <w:rFonts w:ascii="Helvetica Neue" w:hAnsi="Helvetica Neue"/>
                                                <w:b/>
                                                <w:bCs/>
                                                <w:color w:val="4C6AA2"/>
                                                <w:sz w:val="18"/>
                                                <w:szCs w:val="18"/>
                                              </w:rPr>
                                              <w:t>plan</w:t>
                                            </w:r>
                                          </w:hyperlink>
                                          <w:r>
                                            <w:rPr>
                                              <w:rFonts w:ascii="Helvetica Neue" w:hAnsi="Helvetica Neue"/>
                                              <w:color w:val="000000"/>
                                              <w:sz w:val="18"/>
                                              <w:szCs w:val="18"/>
                                            </w:rPr>
                                            <w:t> the US negotiated with Israel in January. Articles in </w:t>
                                          </w:r>
                                          <w:r>
                                            <w:rPr>
                                              <w:rStyle w:val="Emphasis"/>
                                              <w:rFonts w:ascii="Helvetica Neue" w:hAnsi="Helvetica Neue"/>
                                              <w:color w:val="000000"/>
                                              <w:sz w:val="18"/>
                                              <w:szCs w:val="18"/>
                                            </w:rPr>
                                            <w:t>Al Jazeera</w:t>
                                          </w:r>
                                          <w:r>
                                            <w:rPr>
                                              <w:rFonts w:ascii="Helvetica Neue" w:hAnsi="Helvetica Neue"/>
                                              <w:color w:val="000000"/>
                                              <w:sz w:val="18"/>
                                              <w:szCs w:val="18"/>
                                            </w:rPr>
                                            <w:t> </w:t>
                                          </w:r>
                                          <w:hyperlink r:id="rId12" w:history="1">
                                            <w:r>
                                              <w:rPr>
                                                <w:rStyle w:val="Hyperlink"/>
                                                <w:rFonts w:ascii="Helvetica Neue" w:hAnsi="Helvetica Neue"/>
                                                <w:b/>
                                                <w:bCs/>
                                                <w:color w:val="4C6AA2"/>
                                                <w:sz w:val="18"/>
                                                <w:szCs w:val="18"/>
                                              </w:rPr>
                                              <w:t>predict</w:t>
                                            </w:r>
                                          </w:hyperlink>
                                          <w:r>
                                            <w:rPr>
                                              <w:rFonts w:ascii="Helvetica Neue" w:hAnsi="Helvetica Neue"/>
                                              <w:color w:val="000000"/>
                                              <w:sz w:val="18"/>
                                              <w:szCs w:val="18"/>
                                            </w:rPr>
                                            <w:t> that the UAE’s steps toward recognition of Israel will open the way for American sales of advanced military aircraft to the UAE, but will meet Saudi </w:t>
                                          </w:r>
                                          <w:hyperlink r:id="rId13" w:history="1">
                                            <w:r>
                                              <w:rPr>
                                                <w:rStyle w:val="Hyperlink"/>
                                                <w:rFonts w:ascii="Helvetica Neue" w:hAnsi="Helvetica Neue"/>
                                                <w:b/>
                                                <w:bCs/>
                                                <w:color w:val="4C6AA2"/>
                                                <w:sz w:val="18"/>
                                                <w:szCs w:val="18"/>
                                              </w:rPr>
                                              <w:t>opposition</w:t>
                                            </w:r>
                                          </w:hyperlink>
                                          <w:r>
                                            <w:rPr>
                                              <w:rFonts w:ascii="Helvetica Neue" w:hAnsi="Helvetica Neue"/>
                                              <w:color w:val="000000"/>
                                              <w:sz w:val="18"/>
                                              <w:szCs w:val="18"/>
                                            </w:rPr>
                                            <w:t> and </w:t>
                                          </w:r>
                                          <w:hyperlink r:id="rId14" w:history="1">
                                            <w:r>
                                              <w:rPr>
                                                <w:rStyle w:val="Hyperlink"/>
                                                <w:rFonts w:ascii="Helvetica Neue" w:hAnsi="Helvetica Neue"/>
                                                <w:b/>
                                                <w:bCs/>
                                                <w:color w:val="4C6AA2"/>
                                                <w:sz w:val="18"/>
                                                <w:szCs w:val="18"/>
                                              </w:rPr>
                                              <w:t>undercut</w:t>
                                            </w:r>
                                          </w:hyperlink>
                                          <w:r>
                                            <w:rPr>
                                              <w:rFonts w:ascii="Helvetica Neue" w:hAnsi="Helvetica Neue"/>
                                              <w:color w:val="000000"/>
                                              <w:sz w:val="18"/>
                                              <w:szCs w:val="18"/>
                                            </w:rPr>
                                            <w:t> the wider Arab position. In an authoritative </w:t>
                                          </w:r>
                                          <w:hyperlink r:id="rId15" w:history="1">
                                            <w:r>
                                              <w:rPr>
                                                <w:rStyle w:val="Hyperlink"/>
                                                <w:rFonts w:ascii="Helvetica Neue" w:hAnsi="Helvetica Neue"/>
                                                <w:b/>
                                                <w:bCs/>
                                                <w:color w:val="4C6AA2"/>
                                                <w:sz w:val="18"/>
                                                <w:szCs w:val="18"/>
                                              </w:rPr>
                                              <w:t>assessment</w:t>
                                            </w:r>
                                          </w:hyperlink>
                                          <w:r>
                                            <w:rPr>
                                              <w:rFonts w:ascii="Helvetica Neue" w:hAnsi="Helvetica Neue"/>
                                              <w:color w:val="000000"/>
                                              <w:sz w:val="18"/>
                                              <w:szCs w:val="18"/>
                                            </w:rPr>
                                            <w:t> in </w:t>
                                          </w:r>
                                          <w:r>
                                            <w:rPr>
                                              <w:rStyle w:val="Emphasis"/>
                                              <w:rFonts w:ascii="Helvetica Neue" w:hAnsi="Helvetica Neue"/>
                                              <w:color w:val="000000"/>
                                              <w:sz w:val="18"/>
                                              <w:szCs w:val="18"/>
                                            </w:rPr>
                                            <w:t>Australian Outlook</w:t>
                                          </w:r>
                                          <w:r>
                                            <w:rPr>
                                              <w:rFonts w:ascii="Helvetica Neue" w:hAnsi="Helvetica Neue"/>
                                              <w:color w:val="000000"/>
                                              <w:sz w:val="18"/>
                                              <w:szCs w:val="18"/>
                                            </w:rPr>
                                            <w:t>, Colin Chapman explores the historical context and regional prospects.</w:t>
                                          </w:r>
                                          <w:r>
                                            <w:rPr>
                                              <w:rFonts w:ascii="Verdana" w:hAnsi="Verdana"/>
                                              <w:color w:val="000000"/>
                                            </w:rPr>
                                            <w:br/>
                                          </w:r>
                                          <w:r>
                                            <w:rPr>
                                              <w:rFonts w:ascii="Helvetica Neue" w:hAnsi="Helvetica Neue"/>
                                              <w:color w:val="000000"/>
                                              <w:sz w:val="15"/>
                                              <w:szCs w:val="15"/>
                                            </w:rPr>
                                            <w:t>Image credit: </w:t>
                                          </w:r>
                                          <w:hyperlink r:id="rId16" w:tgtFrame="_blank" w:history="1">
                                            <w:r>
                                              <w:rPr>
                                                <w:rStyle w:val="Hyperlink"/>
                                                <w:rFonts w:ascii="Helvetica Neue" w:hAnsi="Helvetica Neue"/>
                                                <w:b/>
                                                <w:bCs/>
                                                <w:color w:val="4C6AA2"/>
                                                <w:sz w:val="15"/>
                                                <w:szCs w:val="15"/>
                                              </w:rPr>
                                              <w:t>US State Department</w:t>
                                            </w:r>
                                          </w:hyperlink>
                                        </w:p>
                                      </w:tc>
                                    </w:tr>
                                  </w:tbl>
                                  <w:p w14:paraId="6C67286B" w14:textId="77777777" w:rsidR="006E44C2" w:rsidRDefault="006E44C2">
                                    <w:pPr>
                                      <w:rPr>
                                        <w:rFonts w:ascii="Times New Roman" w:hAnsi="Times New Roman"/>
                                      </w:rPr>
                                    </w:pPr>
                                  </w:p>
                                </w:tc>
                              </w:tr>
                            </w:tbl>
                            <w:p w14:paraId="5EF194D2" w14:textId="77777777" w:rsidR="006E44C2" w:rsidRDefault="006E44C2"/>
                          </w:tc>
                        </w:tr>
                      </w:tbl>
                      <w:p w14:paraId="63483F21"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3CEDC5C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E44C2" w14:paraId="61C7F841" w14:textId="77777777">
                                <w:tc>
                                  <w:tcPr>
                                    <w:tcW w:w="0" w:type="auto"/>
                                    <w:vAlign w:val="center"/>
                                    <w:hideMark/>
                                  </w:tcPr>
                                  <w:p w14:paraId="65AABAAA" w14:textId="77777777" w:rsidR="006E44C2" w:rsidRDefault="006E44C2"/>
                                </w:tc>
                              </w:tr>
                            </w:tbl>
                            <w:p w14:paraId="4F8BB00D" w14:textId="77777777" w:rsidR="006E44C2" w:rsidRDefault="006E44C2"/>
                          </w:tc>
                        </w:tr>
                      </w:tbl>
                      <w:p w14:paraId="08C94215"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1BF4BF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E44C2" w14:paraId="0443D278"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5B7853B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229BA30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5EEF6BC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027CF35B" w14:textId="77777777">
                                                        <w:tc>
                                                          <w:tcPr>
                                                            <w:tcW w:w="0" w:type="auto"/>
                                                            <w:hideMark/>
                                                          </w:tcPr>
                                                          <w:p w14:paraId="2BF8CA7D" w14:textId="77777777" w:rsidR="006E44C2" w:rsidRDefault="006E44C2">
                                                            <w:r>
                                                              <w:rPr>
                                                                <w:rStyle w:val="Emphasis"/>
                                                                <w:rFonts w:ascii="Helvetica Neue" w:hAnsi="Helvetica Neue"/>
                                                                <w:sz w:val="17"/>
                                                                <w:szCs w:val="17"/>
                                                              </w:rPr>
                                                              <w:t>These articles were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0E90AAA6" w14:textId="77777777" w:rsidR="006E44C2" w:rsidRDefault="006E44C2"/>
                                                  </w:tc>
                                                </w:tr>
                                              </w:tbl>
                                              <w:p w14:paraId="2207DC50" w14:textId="77777777" w:rsidR="006E44C2" w:rsidRDefault="006E44C2"/>
                                            </w:tc>
                                          </w:tr>
                                        </w:tbl>
                                        <w:p w14:paraId="47CB408E" w14:textId="77777777" w:rsidR="006E44C2" w:rsidRDefault="006E44C2"/>
                                      </w:tc>
                                    </w:tr>
                                  </w:tbl>
                                  <w:p w14:paraId="32305BF0" w14:textId="77777777" w:rsidR="006E44C2" w:rsidRDefault="006E44C2">
                                    <w:pPr>
                                      <w:spacing w:line="360" w:lineRule="atLeast"/>
                                      <w:rPr>
                                        <w:rFonts w:ascii="Verdana" w:hAnsi="Verdana"/>
                                        <w:color w:val="000000"/>
                                      </w:rPr>
                                    </w:pPr>
                                  </w:p>
                                </w:tc>
                              </w:tr>
                            </w:tbl>
                            <w:p w14:paraId="38EDF5A0" w14:textId="77777777" w:rsidR="006E44C2" w:rsidRDefault="006E44C2"/>
                          </w:tc>
                        </w:tr>
                      </w:tbl>
                      <w:p w14:paraId="17565F0A"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360E73E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E44C2" w14:paraId="042C316C" w14:textId="77777777">
                                <w:tc>
                                  <w:tcPr>
                                    <w:tcW w:w="0" w:type="auto"/>
                                    <w:vAlign w:val="center"/>
                                    <w:hideMark/>
                                  </w:tcPr>
                                  <w:p w14:paraId="6788BF9F" w14:textId="77777777" w:rsidR="006E44C2" w:rsidRDefault="006E44C2"/>
                                </w:tc>
                              </w:tr>
                            </w:tbl>
                            <w:p w14:paraId="2E70BCF9" w14:textId="77777777" w:rsidR="006E44C2" w:rsidRDefault="006E44C2"/>
                          </w:tc>
                        </w:tr>
                      </w:tbl>
                      <w:p w14:paraId="6381176B"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6835A89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E44C2" w14:paraId="2FABB81A"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6E44C2" w14:paraId="57FAE498" w14:textId="77777777">
                                      <w:tc>
                                        <w:tcPr>
                                          <w:tcW w:w="0" w:type="auto"/>
                                          <w:hideMark/>
                                        </w:tcPr>
                                        <w:p w14:paraId="6A6C4E0B" w14:textId="1588CDC7" w:rsidR="006E44C2" w:rsidRDefault="006E44C2">
                                          <w:r>
                                            <w:lastRenderedPageBreak/>
                                            <w:fldChar w:fldCharType="begin"/>
                                          </w:r>
                                          <w:r>
                                            <w:instrText xml:space="preserve"> INCLUDEPICTURE "https://mcusercontent.com/0e9feb1606f1b4129a8b65828/images/b8d1a292-8ddd-4fdd-b6c9-68cfbf5f86d9.jpg" \* MERGEFORMATINET </w:instrText>
                                          </w:r>
                                          <w:r>
                                            <w:fldChar w:fldCharType="separate"/>
                                          </w:r>
                                          <w:r>
                                            <w:rPr>
                                              <w:noProof/>
                                            </w:rPr>
                                            <w:drawing>
                                              <wp:inline distT="0" distB="0" distL="0" distR="0" wp14:anchorId="0D581892" wp14:editId="420D5BD5">
                                                <wp:extent cx="3336290" cy="4980305"/>
                                                <wp:effectExtent l="0" t="0" r="3810" b="0"/>
                                                <wp:docPr id="18" name="Picture 18" descr="A close up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tone build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6290" cy="4980305"/>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6E44C2" w14:paraId="2E7EEC5C" w14:textId="77777777">
                                      <w:tc>
                                        <w:tcPr>
                                          <w:tcW w:w="0" w:type="auto"/>
                                          <w:hideMark/>
                                        </w:tcPr>
                                        <w:p w14:paraId="4F208AF0" w14:textId="77777777" w:rsidR="006E44C2" w:rsidRDefault="006E44C2">
                                          <w:pPr>
                                            <w:pStyle w:val="NormalWeb"/>
                                            <w:spacing w:before="150" w:beforeAutospacing="0" w:after="150" w:afterAutospacing="0" w:line="300" w:lineRule="atLeast"/>
                                            <w:rPr>
                                              <w:rFonts w:ascii="Verdana" w:hAnsi="Verdana"/>
                                              <w:color w:val="000000"/>
                                            </w:rPr>
                                          </w:pPr>
                                          <w:hyperlink r:id="rId18" w:tgtFrame="_blank" w:history="1">
                                            <w:r>
                                              <w:rPr>
                                                <w:rStyle w:val="Hyperlink"/>
                                                <w:rFonts w:ascii="Helvetica Neue" w:hAnsi="Helvetica Neue"/>
                                                <w:b/>
                                                <w:bCs/>
                                                <w:color w:val="4C6AA2"/>
                                                <w:sz w:val="27"/>
                                                <w:szCs w:val="27"/>
                                              </w:rPr>
                                              <w:t>Surviving COVID-19 in Chengdu</w:t>
                                            </w:r>
                                          </w:hyperlink>
                                          <w:r>
                                            <w:rPr>
                                              <w:rFonts w:ascii="Verdana" w:hAnsi="Verdana"/>
                                              <w:color w:val="000000"/>
                                            </w:rPr>
                                            <w:br/>
                                          </w:r>
                                          <w:r>
                                            <w:rPr>
                                              <w:rFonts w:ascii="Helvetica Neue" w:hAnsi="Helvetica Neue"/>
                                              <w:color w:val="000000"/>
                                              <w:sz w:val="18"/>
                                              <w:szCs w:val="18"/>
                                            </w:rPr>
                                            <w:t> </w:t>
                                          </w:r>
                                          <w:r>
                                            <w:rPr>
                                              <w:rFonts w:ascii="Helvetica Neue" w:hAnsi="Helvetica Neue"/>
                                              <w:color w:val="000000"/>
                                              <w:sz w:val="18"/>
                                              <w:szCs w:val="18"/>
                                            </w:rPr>
                                            <w:br/>
                                            <w:t xml:space="preserve">Peter </w:t>
                                          </w:r>
                                          <w:proofErr w:type="spellStart"/>
                                          <w:r>
                                            <w:rPr>
                                              <w:rFonts w:ascii="Helvetica Neue" w:hAnsi="Helvetica Neue"/>
                                              <w:color w:val="000000"/>
                                              <w:sz w:val="18"/>
                                              <w:szCs w:val="18"/>
                                            </w:rPr>
                                            <w:t>Hessler</w:t>
                                          </w:r>
                                          <w:proofErr w:type="spellEnd"/>
                                          <w:r>
                                            <w:rPr>
                                              <w:rFonts w:ascii="Helvetica Neue" w:hAnsi="Helvetica Neue"/>
                                              <w:color w:val="000000"/>
                                              <w:sz w:val="18"/>
                                              <w:szCs w:val="18"/>
                                            </w:rPr>
                                            <w:t>, who writes for </w:t>
                                          </w:r>
                                          <w:r>
                                            <w:rPr>
                                              <w:rStyle w:val="Emphasis"/>
                                              <w:rFonts w:ascii="Helvetica Neue" w:hAnsi="Helvetica Neue"/>
                                              <w:color w:val="000000"/>
                                              <w:sz w:val="18"/>
                                              <w:szCs w:val="18"/>
                                            </w:rPr>
                                            <w:t>The New Yorker</w:t>
                                          </w:r>
                                          <w:r>
                                            <w:rPr>
                                              <w:rFonts w:ascii="Helvetica Neue" w:hAnsi="Helvetica Neue"/>
                                              <w:color w:val="000000"/>
                                              <w:sz w:val="18"/>
                                              <w:szCs w:val="18"/>
                                            </w:rPr>
                                            <w:t>, has published a delightful </w:t>
                                          </w:r>
                                          <w:hyperlink r:id="rId19" w:tgtFrame="_blank" w:history="1">
                                            <w:r>
                                              <w:rPr>
                                                <w:rStyle w:val="Hyperlink"/>
                                                <w:rFonts w:ascii="Helvetica Neue" w:hAnsi="Helvetica Neue"/>
                                                <w:b/>
                                                <w:bCs/>
                                                <w:color w:val="4C6AA2"/>
                                                <w:sz w:val="18"/>
                                                <w:szCs w:val="18"/>
                                              </w:rPr>
                                              <w:t>account </w:t>
                                            </w:r>
                                          </w:hyperlink>
                                          <w:r>
                                            <w:rPr>
                                              <w:rFonts w:ascii="Helvetica Neue" w:hAnsi="Helvetica Neue"/>
                                              <w:color w:val="000000"/>
                                              <w:sz w:val="18"/>
                                              <w:szCs w:val="18"/>
                                            </w:rPr>
                                            <w:t xml:space="preserve">of the last few months when he has been lecturing at Sichuan University in the Chinese city of Chengdu throughout the COVID-19 pandemic lockdown. </w:t>
                                          </w:r>
                                          <w:proofErr w:type="spellStart"/>
                                          <w:r>
                                            <w:rPr>
                                              <w:rFonts w:ascii="Helvetica Neue" w:hAnsi="Helvetica Neue"/>
                                              <w:color w:val="000000"/>
                                              <w:sz w:val="18"/>
                                              <w:szCs w:val="18"/>
                                            </w:rPr>
                                            <w:t>Hessler's</w:t>
                                          </w:r>
                                          <w:proofErr w:type="spellEnd"/>
                                          <w:r>
                                            <w:rPr>
                                              <w:rFonts w:ascii="Helvetica Neue" w:hAnsi="Helvetica Neue"/>
                                              <w:color w:val="000000"/>
                                              <w:sz w:val="18"/>
                                              <w:szCs w:val="18"/>
                                            </w:rPr>
                                            <w:t xml:space="preserve"> article is a great read as it provides a personal perspective on the effect of the virus on university campus life. Anyone who is interested in understanding how China managed the crisis, what 'ordinary' Chinese citizens think of the United States and how they expect relations to evolve in the future will undoubtedly appreciate this essay.</w:t>
                                          </w:r>
                                          <w:r>
                                            <w:rPr>
                                              <w:rFonts w:ascii="Verdana" w:hAnsi="Verdana"/>
                                              <w:color w:val="000000"/>
                                            </w:rPr>
                                            <w:br/>
                                          </w:r>
                                          <w:r>
                                            <w:rPr>
                                              <w:rFonts w:ascii="Helvetica Neue" w:hAnsi="Helvetica Neue"/>
                                              <w:color w:val="000000"/>
                                              <w:sz w:val="15"/>
                                              <w:szCs w:val="15"/>
                                            </w:rPr>
                                            <w:t>Image credit: </w:t>
                                          </w:r>
                                          <w:hyperlink r:id="rId20" w:tgtFrame="_blank" w:history="1">
                                            <w:r>
                                              <w:rPr>
                                                <w:rStyle w:val="Hyperlink"/>
                                                <w:rFonts w:ascii="Helvetica Neue" w:hAnsi="Helvetica Neue"/>
                                                <w:b/>
                                                <w:bCs/>
                                                <w:color w:val="4C6AA2"/>
                                                <w:sz w:val="15"/>
                                                <w:szCs w:val="15"/>
                                              </w:rPr>
                                              <w:t>David Chao</w:t>
                                            </w:r>
                                          </w:hyperlink>
                                        </w:p>
                                      </w:tc>
                                    </w:tr>
                                  </w:tbl>
                                  <w:p w14:paraId="563E50B9" w14:textId="77777777" w:rsidR="006E44C2" w:rsidRDefault="006E44C2">
                                    <w:pPr>
                                      <w:rPr>
                                        <w:rFonts w:ascii="Times New Roman" w:hAnsi="Times New Roman"/>
                                      </w:rPr>
                                    </w:pPr>
                                  </w:p>
                                </w:tc>
                              </w:tr>
                            </w:tbl>
                            <w:p w14:paraId="69C290B0" w14:textId="77777777" w:rsidR="006E44C2" w:rsidRDefault="006E44C2"/>
                          </w:tc>
                        </w:tr>
                      </w:tbl>
                      <w:p w14:paraId="6D90D3CF"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108A10C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E44C2" w14:paraId="616627D2" w14:textId="77777777">
                                <w:tc>
                                  <w:tcPr>
                                    <w:tcW w:w="0" w:type="auto"/>
                                    <w:vAlign w:val="center"/>
                                    <w:hideMark/>
                                  </w:tcPr>
                                  <w:p w14:paraId="681AA62E" w14:textId="77777777" w:rsidR="006E44C2" w:rsidRDefault="006E44C2"/>
                                </w:tc>
                              </w:tr>
                            </w:tbl>
                            <w:p w14:paraId="27129FD2" w14:textId="77777777" w:rsidR="006E44C2" w:rsidRDefault="006E44C2"/>
                          </w:tc>
                        </w:tr>
                      </w:tbl>
                      <w:p w14:paraId="1BB2AC2A"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67AAF8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E44C2" w14:paraId="550F2F16"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26BB541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29BBEAA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6AF897F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404A417C" w14:textId="77777777">
                                                        <w:tc>
                                                          <w:tcPr>
                                                            <w:tcW w:w="0" w:type="auto"/>
                                                            <w:hideMark/>
                                                          </w:tcPr>
                                                          <w:p w14:paraId="30838320" w14:textId="77777777" w:rsidR="006E44C2" w:rsidRDefault="006E44C2">
                                                            <w:r>
                                                              <w:rPr>
                                                                <w:rStyle w:val="Emphasis"/>
                                                                <w:rFonts w:ascii="Helvetica Neue" w:hAnsi="Helvetica Neue"/>
                                                                <w:sz w:val="17"/>
                                                                <w:szCs w:val="17"/>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7BBF0A3C" w14:textId="77777777" w:rsidR="006E44C2" w:rsidRDefault="006E44C2"/>
                                                  </w:tc>
                                                </w:tr>
                                              </w:tbl>
                                              <w:p w14:paraId="5DEB5F82" w14:textId="77777777" w:rsidR="006E44C2" w:rsidRDefault="006E44C2"/>
                                            </w:tc>
                                          </w:tr>
                                        </w:tbl>
                                        <w:p w14:paraId="2925B5C7" w14:textId="77777777" w:rsidR="006E44C2" w:rsidRDefault="006E44C2"/>
                                      </w:tc>
                                    </w:tr>
                                  </w:tbl>
                                  <w:p w14:paraId="7B966E37" w14:textId="77777777" w:rsidR="006E44C2" w:rsidRDefault="006E44C2">
                                    <w:pPr>
                                      <w:spacing w:line="360" w:lineRule="atLeast"/>
                                      <w:rPr>
                                        <w:rFonts w:ascii="Verdana" w:hAnsi="Verdana"/>
                                        <w:color w:val="000000"/>
                                      </w:rPr>
                                    </w:pPr>
                                  </w:p>
                                </w:tc>
                              </w:tr>
                            </w:tbl>
                            <w:p w14:paraId="428E499E" w14:textId="77777777" w:rsidR="006E44C2" w:rsidRDefault="006E44C2"/>
                          </w:tc>
                        </w:tr>
                      </w:tbl>
                      <w:p w14:paraId="24FC149F"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2EB7A79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E44C2" w14:paraId="792ADA3F" w14:textId="77777777">
                                <w:tc>
                                  <w:tcPr>
                                    <w:tcW w:w="0" w:type="auto"/>
                                    <w:vAlign w:val="center"/>
                                    <w:hideMark/>
                                  </w:tcPr>
                                  <w:p w14:paraId="75AFED2D" w14:textId="77777777" w:rsidR="006E44C2" w:rsidRDefault="006E44C2"/>
                                </w:tc>
                              </w:tr>
                            </w:tbl>
                            <w:p w14:paraId="7C03894F" w14:textId="77777777" w:rsidR="006E44C2" w:rsidRDefault="006E44C2"/>
                          </w:tc>
                        </w:tr>
                      </w:tbl>
                      <w:p w14:paraId="56A52A7D"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03D11C7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E44C2" w14:paraId="033E608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6E44C2" w14:paraId="75BC08A2" w14:textId="77777777">
                                      <w:tc>
                                        <w:tcPr>
                                          <w:tcW w:w="0" w:type="auto"/>
                                          <w:hideMark/>
                                        </w:tcPr>
                                        <w:p w14:paraId="195BE710" w14:textId="40AB69B5" w:rsidR="006E44C2" w:rsidRDefault="006E44C2">
                                          <w:pPr>
                                            <w:jc w:val="right"/>
                                          </w:pPr>
                                          <w:r>
                                            <w:lastRenderedPageBreak/>
                                            <w:fldChar w:fldCharType="begin"/>
                                          </w:r>
                                          <w:r>
                                            <w:instrText xml:space="preserve"> INCLUDEPICTURE "https://mcusercontent.com/0e9feb1606f1b4129a8b65828/images/60226a6c-f6b3-4cf1-9958-5772116c8667.jpg" \* MERGEFORMATINET </w:instrText>
                                          </w:r>
                                          <w:r>
                                            <w:fldChar w:fldCharType="separate"/>
                                          </w:r>
                                          <w:r>
                                            <w:rPr>
                                              <w:noProof/>
                                            </w:rPr>
                                            <w:drawing>
                                              <wp:inline distT="0" distB="0" distL="0" distR="0" wp14:anchorId="07B35FDA" wp14:editId="05EF1954">
                                                <wp:extent cx="3355975" cy="5029200"/>
                                                <wp:effectExtent l="0" t="0" r="0" b="0"/>
                                                <wp:docPr id="17" name="Picture 17" descr="A group of people standing around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around a pla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5975" cy="50292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E44C2" w14:paraId="36C88AA2" w14:textId="77777777">
                                      <w:tc>
                                        <w:tcPr>
                                          <w:tcW w:w="0" w:type="auto"/>
                                          <w:hideMark/>
                                        </w:tcPr>
                                        <w:p w14:paraId="49A4150E" w14:textId="77777777" w:rsidR="006E44C2" w:rsidRDefault="006E44C2">
                                          <w:pPr>
                                            <w:pStyle w:val="NormalWeb"/>
                                            <w:spacing w:before="150" w:beforeAutospacing="0" w:after="150" w:afterAutospacing="0" w:line="300" w:lineRule="atLeast"/>
                                            <w:rPr>
                                              <w:rFonts w:ascii="Verdana" w:hAnsi="Verdana"/>
                                              <w:color w:val="222222"/>
                                            </w:rPr>
                                          </w:pPr>
                                          <w:hyperlink r:id="rId22" w:tgtFrame="_blank" w:history="1">
                                            <w:r>
                                              <w:rPr>
                                                <w:rStyle w:val="Hyperlink"/>
                                                <w:rFonts w:ascii="Helvetica Neue" w:hAnsi="Helvetica Neue"/>
                                                <w:b/>
                                                <w:bCs/>
                                                <w:color w:val="4C6AA2"/>
                                                <w:sz w:val="27"/>
                                                <w:szCs w:val="27"/>
                                              </w:rPr>
                                              <w:t>China's Grand Strategy: Trends, Trajectories and Long-Term Competition</w:t>
                                            </w:r>
                                          </w:hyperlink>
                                          <w:r>
                                            <w:rPr>
                                              <w:rFonts w:ascii="Verdana" w:hAnsi="Verdana"/>
                                              <w:color w:val="222222"/>
                                            </w:rPr>
                                            <w:br/>
                                          </w:r>
                                          <w:r>
                                            <w:rPr>
                                              <w:rFonts w:ascii="Verdana" w:hAnsi="Verdana"/>
                                              <w:color w:val="222222"/>
                                            </w:rPr>
                                            <w:br/>
                                          </w:r>
                                          <w:r>
                                            <w:rPr>
                                              <w:rFonts w:ascii="Helvetica Neue" w:hAnsi="Helvetica Neue"/>
                                              <w:color w:val="222222"/>
                                              <w:sz w:val="18"/>
                                              <w:szCs w:val="18"/>
                                            </w:rPr>
                                            <w:t>This </w:t>
                                          </w:r>
                                          <w:hyperlink r:id="rId23" w:tgtFrame="_blank" w:history="1">
                                            <w:r>
                                              <w:rPr>
                                                <w:rStyle w:val="Hyperlink"/>
                                                <w:rFonts w:ascii="Helvetica Neue" w:hAnsi="Helvetica Neue"/>
                                                <w:b/>
                                                <w:bCs/>
                                                <w:color w:val="4C6AA2"/>
                                                <w:sz w:val="18"/>
                                                <w:szCs w:val="18"/>
                                              </w:rPr>
                                              <w:t>report</w:t>
                                            </w:r>
                                          </w:hyperlink>
                                          <w:r>
                                            <w:rPr>
                                              <w:rFonts w:ascii="Helvetica Neue" w:hAnsi="Helvetica Neue"/>
                                              <w:color w:val="222222"/>
                                              <w:sz w:val="18"/>
                                              <w:szCs w:val="18"/>
                                            </w:rPr>
                                            <w:t xml:space="preserve"> for the United States Army by the RAND Corporation presents four varying scenarios of China's development over the next thirty years and three possible trends for US-China relations. The recommendations focus on the capabilities and concerns of the US </w:t>
                                          </w:r>
                                          <w:proofErr w:type="gramStart"/>
                                          <w:r>
                                            <w:rPr>
                                              <w:rFonts w:ascii="Helvetica Neue" w:hAnsi="Helvetica Neue"/>
                                              <w:color w:val="222222"/>
                                              <w:sz w:val="18"/>
                                              <w:szCs w:val="18"/>
                                            </w:rPr>
                                            <w:t>Army, and</w:t>
                                          </w:r>
                                          <w:proofErr w:type="gramEnd"/>
                                          <w:r>
                                            <w:rPr>
                                              <w:rFonts w:ascii="Helvetica Neue" w:hAnsi="Helvetica Neue"/>
                                              <w:color w:val="222222"/>
                                              <w:sz w:val="18"/>
                                              <w:szCs w:val="18"/>
                                            </w:rPr>
                                            <w:t xml:space="preserve"> show them playing an increasingly important - yet uncomfortable - role in the largely oceanic expanse of the Western Pacific. The report suggests that US Army thinking is far more accustomed to the plains of Western Europe and other continental domains.</w:t>
                                          </w:r>
                                          <w:r>
                                            <w:rPr>
                                              <w:rFonts w:ascii="Verdana" w:hAnsi="Verdana"/>
                                              <w:color w:val="222222"/>
                                            </w:rPr>
                                            <w:br/>
                                          </w:r>
                                          <w:r>
                                            <w:rPr>
                                              <w:rFonts w:ascii="Helvetica Neue" w:hAnsi="Helvetica Neue"/>
                                              <w:color w:val="222222"/>
                                              <w:sz w:val="15"/>
                                              <w:szCs w:val="15"/>
                                            </w:rPr>
                                            <w:t>Image credit: </w:t>
                                          </w:r>
                                          <w:hyperlink r:id="rId24" w:tgtFrame="_blank" w:history="1">
                                            <w:r>
                                              <w:rPr>
                                                <w:rStyle w:val="Hyperlink"/>
                                                <w:rFonts w:ascii="Helvetica Neue" w:hAnsi="Helvetica Neue"/>
                                                <w:b/>
                                                <w:bCs/>
                                                <w:color w:val="4C6AA2"/>
                                                <w:sz w:val="15"/>
                                                <w:szCs w:val="15"/>
                                              </w:rPr>
                                              <w:t>U.S. Pacific Fleet</w:t>
                                            </w:r>
                                          </w:hyperlink>
                                        </w:p>
                                      </w:tc>
                                    </w:tr>
                                  </w:tbl>
                                  <w:p w14:paraId="467B4CCE" w14:textId="77777777" w:rsidR="006E44C2" w:rsidRDefault="006E44C2">
                                    <w:pPr>
                                      <w:rPr>
                                        <w:rFonts w:ascii="Times New Roman" w:hAnsi="Times New Roman"/>
                                      </w:rPr>
                                    </w:pPr>
                                  </w:p>
                                </w:tc>
                              </w:tr>
                            </w:tbl>
                            <w:p w14:paraId="0B096E17" w14:textId="77777777" w:rsidR="006E44C2" w:rsidRDefault="006E44C2"/>
                          </w:tc>
                        </w:tr>
                      </w:tbl>
                      <w:p w14:paraId="083CA203"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4B69C3D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E44C2" w14:paraId="7E9ADF94" w14:textId="77777777">
                                <w:tc>
                                  <w:tcPr>
                                    <w:tcW w:w="0" w:type="auto"/>
                                    <w:vAlign w:val="center"/>
                                    <w:hideMark/>
                                  </w:tcPr>
                                  <w:p w14:paraId="1920138E" w14:textId="77777777" w:rsidR="006E44C2" w:rsidRDefault="006E44C2"/>
                                </w:tc>
                              </w:tr>
                            </w:tbl>
                            <w:p w14:paraId="168019C8" w14:textId="77777777" w:rsidR="006E44C2" w:rsidRDefault="006E44C2"/>
                          </w:tc>
                        </w:tr>
                      </w:tbl>
                      <w:p w14:paraId="338A825E"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66CBA18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E44C2" w14:paraId="0E746A35"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7C92FD4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3D6AD48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6D96221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2BE1D891" w14:textId="77777777">
                                                        <w:tc>
                                                          <w:tcPr>
                                                            <w:tcW w:w="0" w:type="auto"/>
                                                            <w:hideMark/>
                                                          </w:tcPr>
                                                          <w:p w14:paraId="63B82EA2" w14:textId="77777777" w:rsidR="006E44C2" w:rsidRDefault="006E44C2">
                                                            <w:r>
                                                              <w:rPr>
                                                                <w:rStyle w:val="Emphasis"/>
                                                                <w:rFonts w:ascii="Helvetica Neue" w:hAnsi="Helvetica Neue"/>
                                                                <w:sz w:val="17"/>
                                                                <w:szCs w:val="17"/>
                                                              </w:rPr>
                                                              <w:t>This article was selected by Chris Skinner. Chris served thirty years in the Royal Australian Navy in warships that participated in the South East Asian Treaty Organisation, the Vietnam War and surveillance of the North-West Indian Ocean. He joined the AIIA NSW Council in 2019.</w:t>
                                                            </w:r>
                                                          </w:p>
                                                        </w:tc>
                                                      </w:tr>
                                                    </w:tbl>
                                                    <w:p w14:paraId="123DF2BE" w14:textId="77777777" w:rsidR="006E44C2" w:rsidRDefault="006E44C2"/>
                                                  </w:tc>
                                                </w:tr>
                                              </w:tbl>
                                              <w:p w14:paraId="33A78A21" w14:textId="77777777" w:rsidR="006E44C2" w:rsidRDefault="006E44C2"/>
                                            </w:tc>
                                          </w:tr>
                                        </w:tbl>
                                        <w:p w14:paraId="46671B66" w14:textId="77777777" w:rsidR="006E44C2" w:rsidRDefault="006E44C2"/>
                                      </w:tc>
                                    </w:tr>
                                  </w:tbl>
                                  <w:p w14:paraId="2E0B9C35" w14:textId="77777777" w:rsidR="006E44C2" w:rsidRDefault="006E44C2">
                                    <w:pPr>
                                      <w:spacing w:line="360" w:lineRule="atLeast"/>
                                      <w:rPr>
                                        <w:rFonts w:ascii="Verdana" w:hAnsi="Verdana"/>
                                        <w:color w:val="000000"/>
                                      </w:rPr>
                                    </w:pPr>
                                  </w:p>
                                </w:tc>
                              </w:tr>
                            </w:tbl>
                            <w:p w14:paraId="231B3BA3" w14:textId="77777777" w:rsidR="006E44C2" w:rsidRDefault="006E44C2"/>
                          </w:tc>
                        </w:tr>
                      </w:tbl>
                      <w:p w14:paraId="2D006C32"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6FB62B99"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E44C2" w14:paraId="2C3EE251" w14:textId="77777777">
                                <w:tc>
                                  <w:tcPr>
                                    <w:tcW w:w="0" w:type="auto"/>
                                    <w:vAlign w:val="center"/>
                                    <w:hideMark/>
                                  </w:tcPr>
                                  <w:p w14:paraId="04437DD4" w14:textId="77777777" w:rsidR="006E44C2" w:rsidRDefault="006E44C2"/>
                                </w:tc>
                              </w:tr>
                            </w:tbl>
                            <w:p w14:paraId="037D0F07" w14:textId="77777777" w:rsidR="006E44C2" w:rsidRDefault="006E44C2"/>
                          </w:tc>
                        </w:tr>
                      </w:tbl>
                      <w:p w14:paraId="3AB3854B"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4E774B5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E44C2" w14:paraId="0CA74D1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E44C2" w14:paraId="5F36FE7E" w14:textId="77777777">
                                      <w:tc>
                                        <w:tcPr>
                                          <w:tcW w:w="0" w:type="auto"/>
                                          <w:shd w:val="clear" w:color="auto" w:fill="4B6AA2"/>
                                          <w:tcMar>
                                            <w:top w:w="270" w:type="dxa"/>
                                            <w:left w:w="270" w:type="dxa"/>
                                            <w:bottom w:w="270" w:type="dxa"/>
                                            <w:right w:w="270" w:type="dxa"/>
                                          </w:tcMar>
                                          <w:hideMark/>
                                        </w:tcPr>
                                        <w:p w14:paraId="140D59B4" w14:textId="77777777" w:rsidR="006E44C2" w:rsidRDefault="006E44C2">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5BCE1923" w14:textId="77777777" w:rsidR="006E44C2" w:rsidRDefault="006E44C2">
                                    <w:pPr>
                                      <w:rPr>
                                        <w:rFonts w:ascii="Times New Roman" w:hAnsi="Times New Roman"/>
                                      </w:rPr>
                                    </w:pPr>
                                  </w:p>
                                </w:tc>
                              </w:tr>
                            </w:tbl>
                            <w:p w14:paraId="09459BD1" w14:textId="77777777" w:rsidR="006E44C2" w:rsidRDefault="006E44C2"/>
                          </w:tc>
                        </w:tr>
                      </w:tbl>
                      <w:p w14:paraId="5191F4BD"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707D1C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E44C2" w14:paraId="6E457113" w14:textId="77777777">
                                <w:tc>
                                  <w:tcPr>
                                    <w:tcW w:w="0" w:type="auto"/>
                                    <w:tcMar>
                                      <w:top w:w="0" w:type="dxa"/>
                                      <w:left w:w="270" w:type="dxa"/>
                                      <w:bottom w:w="135" w:type="dxa"/>
                                      <w:right w:w="270" w:type="dxa"/>
                                    </w:tcMar>
                                    <w:hideMark/>
                                  </w:tcPr>
                                  <w:p w14:paraId="6766CFF9" w14:textId="77777777" w:rsidR="006E44C2" w:rsidRDefault="006E44C2">
                                    <w:pPr>
                                      <w:spacing w:line="360" w:lineRule="atLeast"/>
                                      <w:rPr>
                                        <w:rFonts w:ascii="Verdana" w:hAnsi="Verdana"/>
                                        <w:color w:val="222222"/>
                                      </w:rPr>
                                    </w:pPr>
                                    <w:r>
                                      <w:rPr>
                                        <w:rFonts w:ascii="Helvetica Neue" w:hAnsi="Helvetica Neue"/>
                                        <w:color w:val="222222"/>
                                        <w:sz w:val="18"/>
                                        <w:szCs w:val="18"/>
                                      </w:rPr>
                                      <w:t xml:space="preserve">In addition to our Councillors, we invite one of our interns to share with you what they have found insightful or interesting in the world of international affairs over the past week. This week, Wendy Hu looks at the future of Mali following its recent coup and the reasons behind the US banning WeChat and </w:t>
                                    </w:r>
                                    <w:proofErr w:type="spellStart"/>
                                    <w:r>
                                      <w:rPr>
                                        <w:rFonts w:ascii="Helvetica Neue" w:hAnsi="Helvetica Neue"/>
                                        <w:color w:val="222222"/>
                                        <w:sz w:val="18"/>
                                        <w:szCs w:val="18"/>
                                      </w:rPr>
                                      <w:t>TikTok</w:t>
                                    </w:r>
                                    <w:proofErr w:type="spellEnd"/>
                                    <w:r>
                                      <w:rPr>
                                        <w:rFonts w:ascii="Helvetica Neue" w:hAnsi="Helvetica Neue"/>
                                        <w:color w:val="222222"/>
                                        <w:sz w:val="18"/>
                                        <w:szCs w:val="18"/>
                                      </w:rPr>
                                      <w:t>.</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790FDC23" w14:textId="77777777" w:rsidR="006E44C2" w:rsidRDefault="006E44C2">
                              <w:pPr>
                                <w:rPr>
                                  <w:rFonts w:ascii="Times New Roman" w:hAnsi="Times New Roman"/>
                                </w:rPr>
                              </w:pPr>
                            </w:p>
                          </w:tc>
                        </w:tr>
                      </w:tbl>
                      <w:p w14:paraId="0AC7E36F"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224F49B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E44C2" w14:paraId="38160DD5" w14:textId="77777777">
                                <w:tc>
                                  <w:tcPr>
                                    <w:tcW w:w="0" w:type="auto"/>
                                    <w:vAlign w:val="center"/>
                                    <w:hideMark/>
                                  </w:tcPr>
                                  <w:p w14:paraId="316CDAE3" w14:textId="77777777" w:rsidR="006E44C2" w:rsidRDefault="006E44C2"/>
                                </w:tc>
                              </w:tr>
                            </w:tbl>
                            <w:p w14:paraId="411D7647" w14:textId="77777777" w:rsidR="006E44C2" w:rsidRDefault="006E44C2"/>
                          </w:tc>
                        </w:tr>
                      </w:tbl>
                      <w:p w14:paraId="56CC266E"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16EEA01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E44C2" w14:paraId="5A638F46"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6E44C2" w14:paraId="0B97B54E" w14:textId="77777777">
                                      <w:tc>
                                        <w:tcPr>
                                          <w:tcW w:w="0" w:type="auto"/>
                                          <w:hideMark/>
                                        </w:tcPr>
                                        <w:p w14:paraId="70EB3D33" w14:textId="756746DE" w:rsidR="006E44C2" w:rsidRDefault="006E44C2">
                                          <w:pPr>
                                            <w:jc w:val="right"/>
                                          </w:pPr>
                                          <w:r>
                                            <w:lastRenderedPageBreak/>
                                            <w:fldChar w:fldCharType="begin"/>
                                          </w:r>
                                          <w:r>
                                            <w:instrText xml:space="preserve"> INCLUDEPICTURE "https://mcusercontent.com/0e9feb1606f1b4129a8b65828/images/50be75f2-c093-4f5f-9fae-769e8de3e653.jpg" \* MERGEFORMATINET </w:instrText>
                                          </w:r>
                                          <w:r>
                                            <w:fldChar w:fldCharType="separate"/>
                                          </w:r>
                                          <w:r>
                                            <w:rPr>
                                              <w:noProof/>
                                            </w:rPr>
                                            <w:drawing>
                                              <wp:inline distT="0" distB="0" distL="0" distR="0" wp14:anchorId="0770D443" wp14:editId="1C4A9C9F">
                                                <wp:extent cx="3355975" cy="4474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975" cy="447484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E44C2" w14:paraId="3AC52B37" w14:textId="77777777">
                                      <w:tc>
                                        <w:tcPr>
                                          <w:tcW w:w="0" w:type="auto"/>
                                          <w:hideMark/>
                                        </w:tcPr>
                                        <w:p w14:paraId="56133AD7" w14:textId="77777777" w:rsidR="006E44C2" w:rsidRDefault="006E44C2">
                                          <w:pPr>
                                            <w:pStyle w:val="NormalWeb"/>
                                            <w:spacing w:before="150" w:beforeAutospacing="0" w:after="150" w:afterAutospacing="0" w:line="300" w:lineRule="atLeast"/>
                                            <w:rPr>
                                              <w:rFonts w:ascii="Verdana" w:hAnsi="Verdana"/>
                                              <w:color w:val="222222"/>
                                            </w:rPr>
                                          </w:pPr>
                                          <w:hyperlink r:id="rId26" w:tgtFrame="_blank" w:history="1">
                                            <w:r>
                                              <w:rPr>
                                                <w:rStyle w:val="Hyperlink"/>
                                                <w:rFonts w:ascii="Helvetica Neue" w:hAnsi="Helvetica Neue"/>
                                                <w:b/>
                                                <w:bCs/>
                                                <w:color w:val="4C6AA2"/>
                                                <w:sz w:val="27"/>
                                                <w:szCs w:val="27"/>
                                              </w:rPr>
                                              <w:t>What does the future hold for Mali?</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The arrest of Malian Prime Minister Boubou </w:t>
                                          </w:r>
                                          <w:proofErr w:type="spellStart"/>
                                          <w:r>
                                            <w:rPr>
                                              <w:rFonts w:ascii="Helvetica Neue" w:hAnsi="Helvetica Neue"/>
                                              <w:color w:val="222222"/>
                                              <w:sz w:val="18"/>
                                              <w:szCs w:val="18"/>
                                            </w:rPr>
                                            <w:t>Ciss</w:t>
                                          </w:r>
                                          <w:r>
                                            <w:rPr>
                                              <w:rStyle w:val="st"/>
                                              <w:rFonts w:ascii="Helvetica Neue" w:hAnsi="Helvetica Neue"/>
                                              <w:color w:val="222222"/>
                                              <w:sz w:val="18"/>
                                              <w:szCs w:val="18"/>
                                            </w:rPr>
                                            <w:t>é</w:t>
                                          </w:r>
                                          <w:proofErr w:type="spellEnd"/>
                                          <w:r>
                                            <w:rPr>
                                              <w:rFonts w:ascii="Helvetica Neue" w:hAnsi="Helvetica Neue"/>
                                              <w:color w:val="222222"/>
                                              <w:sz w:val="18"/>
                                              <w:szCs w:val="18"/>
                                            </w:rPr>
                                            <w:t xml:space="preserve"> by the military and the resignation of President Ibrahim Boubacar </w:t>
                                          </w:r>
                                          <w:proofErr w:type="spellStart"/>
                                          <w:r>
                                            <w:rPr>
                                              <w:rFonts w:ascii="Helvetica Neue" w:hAnsi="Helvetica Neue"/>
                                              <w:color w:val="222222"/>
                                              <w:sz w:val="18"/>
                                              <w:szCs w:val="18"/>
                                            </w:rPr>
                                            <w:t>Ke</w:t>
                                          </w:r>
                                          <w:r>
                                            <w:rPr>
                                              <w:rStyle w:val="st"/>
                                              <w:rFonts w:ascii="Helvetica Neue" w:hAnsi="Helvetica Neue"/>
                                              <w:color w:val="222222"/>
                                              <w:sz w:val="18"/>
                                              <w:szCs w:val="18"/>
                                            </w:rPr>
                                            <w:t>ï</w:t>
                                          </w:r>
                                          <w:r>
                                            <w:rPr>
                                              <w:rFonts w:ascii="Helvetica Neue" w:hAnsi="Helvetica Neue"/>
                                              <w:color w:val="222222"/>
                                              <w:sz w:val="18"/>
                                              <w:szCs w:val="18"/>
                                            </w:rPr>
                                            <w:t>ta</w:t>
                                          </w:r>
                                          <w:proofErr w:type="spellEnd"/>
                                          <w:r>
                                            <w:rPr>
                                              <w:rFonts w:ascii="Helvetica Neue" w:hAnsi="Helvetica Neue"/>
                                              <w:color w:val="222222"/>
                                              <w:sz w:val="18"/>
                                              <w:szCs w:val="18"/>
                                            </w:rPr>
                                            <w:t xml:space="preserve"> came following weeks of protest over systemic corruption and terrorism. Powerful actors such as the United Nations have demanded the elected government be reinstated but many Malians have supported the military's actions. Kathryn Salam </w:t>
                                          </w:r>
                                          <w:hyperlink r:id="rId27"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that this should not come as a surprise. A similar coup in 2012 and French military intervention have not been the stabilising forces they aspired to be. Violent extremist groups strike fear in many communities, and economic conditions remain abysmal, exacerbated by COVID-19. Powerful external actors will need to negotiate with Mali's military for a mutually acceptable government to be installed, otherwise Mali's problems will only continue to intensify.</w:t>
                                          </w:r>
                                          <w:r>
                                            <w:rPr>
                                              <w:rFonts w:ascii="Verdana" w:hAnsi="Verdana"/>
                                              <w:color w:val="222222"/>
                                            </w:rPr>
                                            <w:br/>
                                          </w:r>
                                          <w:r>
                                            <w:rPr>
                                              <w:rFonts w:ascii="Helvetica Neue" w:hAnsi="Helvetica Neue"/>
                                              <w:color w:val="222222"/>
                                              <w:sz w:val="15"/>
                                              <w:szCs w:val="15"/>
                                            </w:rPr>
                                            <w:t>Image credit:</w:t>
                                          </w:r>
                                          <w:r>
                                            <w:rPr>
                                              <w:rFonts w:ascii="Helvetica Neue" w:hAnsi="Helvetica Neue"/>
                                              <w:color w:val="222222"/>
                                              <w:sz w:val="17"/>
                                              <w:szCs w:val="17"/>
                                            </w:rPr>
                                            <w:t> </w:t>
                                          </w:r>
                                          <w:hyperlink r:id="rId28" w:tgtFrame="_blank" w:history="1">
                                            <w:r>
                                              <w:rPr>
                                                <w:rStyle w:val="Hyperlink"/>
                                                <w:rFonts w:ascii="Helvetica Neue" w:hAnsi="Helvetica Neue"/>
                                                <w:b/>
                                                <w:bCs/>
                                                <w:color w:val="4C6AA2"/>
                                                <w:sz w:val="17"/>
                                                <w:szCs w:val="17"/>
                                              </w:rPr>
                                              <w:t>Hugues</w:t>
                                            </w:r>
                                          </w:hyperlink>
                                        </w:p>
                                      </w:tc>
                                    </w:tr>
                                  </w:tbl>
                                  <w:p w14:paraId="3917A00B" w14:textId="77777777" w:rsidR="006E44C2" w:rsidRDefault="006E44C2">
                                    <w:pPr>
                                      <w:rPr>
                                        <w:rFonts w:ascii="Times New Roman" w:hAnsi="Times New Roman"/>
                                      </w:rPr>
                                    </w:pPr>
                                  </w:p>
                                </w:tc>
                              </w:tr>
                            </w:tbl>
                            <w:p w14:paraId="387C62FF" w14:textId="77777777" w:rsidR="006E44C2" w:rsidRDefault="006E44C2"/>
                          </w:tc>
                        </w:tr>
                      </w:tbl>
                      <w:p w14:paraId="5B7F4DF8"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7645FC2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E44C2" w14:paraId="679CEB1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6E44C2" w14:paraId="2E2453CD" w14:textId="77777777">
                                      <w:tc>
                                        <w:tcPr>
                                          <w:tcW w:w="0" w:type="auto"/>
                                          <w:hideMark/>
                                        </w:tcPr>
                                        <w:p w14:paraId="3DDEF9DC" w14:textId="598C1CE7" w:rsidR="006E44C2" w:rsidRDefault="006E44C2">
                                          <w:pPr>
                                            <w:jc w:val="right"/>
                                          </w:pPr>
                                          <w:r>
                                            <w:lastRenderedPageBreak/>
                                            <w:fldChar w:fldCharType="begin"/>
                                          </w:r>
                                          <w:r>
                                            <w:instrText xml:space="preserve"> INCLUDEPICTURE "https://mcusercontent.com/0e9feb1606f1b4129a8b65828/images/472a11ba-c2f8-42ff-b3c7-6245d183f640.jpg" \* MERGEFORMATINET </w:instrText>
                                          </w:r>
                                          <w:r>
                                            <w:fldChar w:fldCharType="separate"/>
                                          </w:r>
                                          <w:r>
                                            <w:rPr>
                                              <w:noProof/>
                                            </w:rPr>
                                            <w:drawing>
                                              <wp:inline distT="0" distB="0" distL="0" distR="0" wp14:anchorId="0E8BCC4F" wp14:editId="535AB2D9">
                                                <wp:extent cx="3355975" cy="5029200"/>
                                                <wp:effectExtent l="0" t="0" r="0" b="0"/>
                                                <wp:docPr id="15" name="Picture 15" descr="A hand holding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and holding a cell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5975" cy="50292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E44C2" w14:paraId="66E70BF4" w14:textId="77777777">
                                      <w:tc>
                                        <w:tcPr>
                                          <w:tcW w:w="0" w:type="auto"/>
                                          <w:hideMark/>
                                        </w:tcPr>
                                        <w:p w14:paraId="42AFA202" w14:textId="77777777" w:rsidR="006E44C2" w:rsidRDefault="006E44C2">
                                          <w:pPr>
                                            <w:pStyle w:val="NormalWeb"/>
                                            <w:spacing w:before="150" w:beforeAutospacing="0" w:after="150" w:afterAutospacing="0" w:line="300" w:lineRule="atLeast"/>
                                            <w:rPr>
                                              <w:rFonts w:ascii="Verdana" w:hAnsi="Verdana"/>
                                              <w:color w:val="222222"/>
                                            </w:rPr>
                                          </w:pPr>
                                          <w:hyperlink r:id="rId30" w:tgtFrame="_blank" w:history="1">
                                            <w:proofErr w:type="spellStart"/>
                                            <w:r>
                                              <w:rPr>
                                                <w:rStyle w:val="Hyperlink"/>
                                                <w:rFonts w:ascii="Helvetica Neue" w:hAnsi="Helvetica Neue"/>
                                                <w:b/>
                                                <w:bCs/>
                                                <w:color w:val="4C6AA2"/>
                                                <w:sz w:val="27"/>
                                                <w:szCs w:val="27"/>
                                              </w:rPr>
                                              <w:t>TikTok</w:t>
                                            </w:r>
                                            <w:proofErr w:type="spellEnd"/>
                                            <w:r>
                                              <w:rPr>
                                                <w:rStyle w:val="Hyperlink"/>
                                                <w:rFonts w:ascii="Helvetica Neue" w:hAnsi="Helvetica Neue"/>
                                                <w:b/>
                                                <w:bCs/>
                                                <w:color w:val="4C6AA2"/>
                                                <w:sz w:val="27"/>
                                                <w:szCs w:val="27"/>
                                              </w:rPr>
                                              <w:t xml:space="preserve"> and Chinese Digital Espionage</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US President Donald Trump recently signed two executive orders banning </w:t>
                                          </w:r>
                                          <w:proofErr w:type="spellStart"/>
                                          <w:r>
                                            <w:rPr>
                                              <w:rFonts w:ascii="Helvetica Neue" w:hAnsi="Helvetica Neue"/>
                                              <w:color w:val="222222"/>
                                              <w:sz w:val="18"/>
                                              <w:szCs w:val="18"/>
                                            </w:rPr>
                                            <w:t>TikTok</w:t>
                                          </w:r>
                                          <w:proofErr w:type="spellEnd"/>
                                          <w:r>
                                            <w:rPr>
                                              <w:rFonts w:ascii="Helvetica Neue" w:hAnsi="Helvetica Neue"/>
                                              <w:color w:val="222222"/>
                                              <w:sz w:val="18"/>
                                              <w:szCs w:val="18"/>
                                            </w:rPr>
                                            <w:t xml:space="preserve"> and WeChat, two Chinese-owned social media platforms, from operating in the United States. The main problem for policymakers does not concern the storage of personal data on Chinese-based servers, but legislation which allows for the Chinese Communist Party to access any data which relates to 'national security'. As Alexander Ratcliffe </w:t>
                                          </w:r>
                                          <w:hyperlink r:id="rId31"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in </w:t>
                                          </w:r>
                                          <w:r>
                                            <w:rPr>
                                              <w:rStyle w:val="Emphasis"/>
                                              <w:rFonts w:ascii="Helvetica Neue" w:hAnsi="Helvetica Neue"/>
                                              <w:color w:val="222222"/>
                                              <w:sz w:val="18"/>
                                              <w:szCs w:val="18"/>
                                            </w:rPr>
                                            <w:t>Australian Outlook</w:t>
                                          </w:r>
                                          <w:r>
                                            <w:rPr>
                                              <w:rFonts w:ascii="Helvetica Neue" w:hAnsi="Helvetica Neue"/>
                                              <w:color w:val="222222"/>
                                              <w:sz w:val="18"/>
                                              <w:szCs w:val="18"/>
                                            </w:rPr>
                                            <w:t xml:space="preserve">, these risks are much more significant for less prominent software and social media platforms than for </w:t>
                                          </w:r>
                                          <w:proofErr w:type="spellStart"/>
                                          <w:r>
                                            <w:rPr>
                                              <w:rFonts w:ascii="Helvetica Neue" w:hAnsi="Helvetica Neue"/>
                                              <w:color w:val="222222"/>
                                              <w:sz w:val="18"/>
                                              <w:szCs w:val="18"/>
                                            </w:rPr>
                                            <w:t>TikTok</w:t>
                                          </w:r>
                                          <w:proofErr w:type="spellEnd"/>
                                          <w:r>
                                            <w:rPr>
                                              <w:rFonts w:ascii="Helvetica Neue" w:hAnsi="Helvetica Neue"/>
                                              <w:color w:val="222222"/>
                                              <w:sz w:val="18"/>
                                              <w:szCs w:val="18"/>
                                            </w:rPr>
                                            <w:t xml:space="preserve"> or WeChat.</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"https://www.pexels.com/photo/crop-person-using-smartphone-against-blurred-american-flags-4560174/?utm_content=attributionCopyText&amp;utm_medium=referral&amp;utm_source=pexels"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Ketut</w:t>
                                          </w:r>
                                          <w:proofErr w:type="spellEnd"/>
                                          <w:r>
                                            <w:rPr>
                                              <w:rStyle w:val="Hyperlink"/>
                                              <w:rFonts w:ascii="Helvetica Neue" w:hAnsi="Helvetica Neue"/>
                                              <w:b/>
                                              <w:bCs/>
                                              <w:color w:val="4C6AA2"/>
                                              <w:sz w:val="15"/>
                                              <w:szCs w:val="15"/>
                                            </w:rPr>
                                            <w:t xml:space="preserve"> </w:t>
                                          </w:r>
                                          <w:proofErr w:type="spellStart"/>
                                          <w:r>
                                            <w:rPr>
                                              <w:rStyle w:val="Hyperlink"/>
                                              <w:rFonts w:ascii="Helvetica Neue" w:hAnsi="Helvetica Neue"/>
                                              <w:b/>
                                              <w:bCs/>
                                              <w:color w:val="4C6AA2"/>
                                              <w:sz w:val="15"/>
                                              <w:szCs w:val="15"/>
                                            </w:rPr>
                                            <w:t>Subiyanto</w:t>
                                          </w:r>
                                          <w:proofErr w:type="spellEnd"/>
                                          <w:r>
                                            <w:rPr>
                                              <w:rFonts w:ascii="Helvetica Neue" w:hAnsi="Helvetica Neue"/>
                                              <w:color w:val="222222"/>
                                              <w:sz w:val="15"/>
                                              <w:szCs w:val="15"/>
                                            </w:rPr>
                                            <w:fldChar w:fldCharType="end"/>
                                          </w:r>
                                        </w:p>
                                      </w:tc>
                                    </w:tr>
                                  </w:tbl>
                                  <w:p w14:paraId="48C278B1" w14:textId="77777777" w:rsidR="006E44C2" w:rsidRDefault="006E44C2">
                                    <w:pPr>
                                      <w:rPr>
                                        <w:rFonts w:ascii="Times New Roman" w:hAnsi="Times New Roman"/>
                                      </w:rPr>
                                    </w:pPr>
                                  </w:p>
                                </w:tc>
                              </w:tr>
                            </w:tbl>
                            <w:p w14:paraId="09F42542" w14:textId="77777777" w:rsidR="006E44C2" w:rsidRDefault="006E44C2"/>
                          </w:tc>
                        </w:tr>
                      </w:tbl>
                      <w:p w14:paraId="75E7B105"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109B260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E44C2" w14:paraId="26E4646E" w14:textId="77777777">
                                <w:tc>
                                  <w:tcPr>
                                    <w:tcW w:w="0" w:type="auto"/>
                                    <w:vAlign w:val="center"/>
                                    <w:hideMark/>
                                  </w:tcPr>
                                  <w:p w14:paraId="547EFE08" w14:textId="77777777" w:rsidR="006E44C2" w:rsidRDefault="006E44C2"/>
                                </w:tc>
                              </w:tr>
                            </w:tbl>
                            <w:p w14:paraId="22ED9C8A" w14:textId="77777777" w:rsidR="006E44C2" w:rsidRDefault="006E44C2"/>
                          </w:tc>
                        </w:tr>
                      </w:tbl>
                      <w:p w14:paraId="2B0F012F"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1B4F82B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E44C2" w14:paraId="766A4489"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292D11A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E44C2" w14:paraId="069881C1" w14:textId="77777777">
                                            <w:tc>
                                              <w:tcPr>
                                                <w:tcW w:w="0" w:type="auto"/>
                                                <w:hideMark/>
                                              </w:tcPr>
                                              <w:p w14:paraId="79AD40B6" w14:textId="77777777" w:rsidR="006E44C2" w:rsidRDefault="006E44C2">
                                                <w:r>
                                                  <w:rPr>
                                                    <w:rStyle w:val="Emphasis"/>
                                                    <w:rFonts w:ascii="Helvetica Neue" w:hAnsi="Helvetica Neue"/>
                                                    <w:sz w:val="17"/>
                                                    <w:szCs w:val="17"/>
                                                  </w:rPr>
                                                  <w:t>These articles were selected by Wendy Hu. Wendy is a penultimate year student at the University of Sydney studying a Bachelor of Commerce and a Bachelor of Laws. She has previously interned at the United States House of Representatives and is particularly interested in the international financial system, and US politics and foreign policy.</w:t>
                                                </w:r>
                                              </w:p>
                                            </w:tc>
                                          </w:tr>
                                        </w:tbl>
                                        <w:p w14:paraId="23B67180" w14:textId="77777777" w:rsidR="006E44C2" w:rsidRDefault="006E44C2"/>
                                      </w:tc>
                                    </w:tr>
                                  </w:tbl>
                                  <w:p w14:paraId="410BA29D" w14:textId="77777777" w:rsidR="006E44C2" w:rsidRDefault="006E44C2">
                                    <w:pPr>
                                      <w:spacing w:line="360" w:lineRule="atLeast"/>
                                      <w:rPr>
                                        <w:rFonts w:ascii="Verdana" w:hAnsi="Verdana"/>
                                        <w:color w:val="000000"/>
                                      </w:rPr>
                                    </w:pPr>
                                  </w:p>
                                </w:tc>
                              </w:tr>
                            </w:tbl>
                            <w:p w14:paraId="65D4445D" w14:textId="77777777" w:rsidR="006E44C2" w:rsidRDefault="006E44C2"/>
                          </w:tc>
                        </w:tr>
                      </w:tbl>
                      <w:p w14:paraId="5456AC00"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441E87C5"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E44C2" w14:paraId="6404FD83" w14:textId="77777777">
                                <w:tc>
                                  <w:tcPr>
                                    <w:tcW w:w="0" w:type="auto"/>
                                    <w:vAlign w:val="center"/>
                                    <w:hideMark/>
                                  </w:tcPr>
                                  <w:p w14:paraId="1C117011" w14:textId="77777777" w:rsidR="006E44C2" w:rsidRDefault="006E44C2"/>
                                </w:tc>
                              </w:tr>
                            </w:tbl>
                            <w:p w14:paraId="2E7E736A" w14:textId="77777777" w:rsidR="006E44C2" w:rsidRDefault="006E44C2"/>
                          </w:tc>
                        </w:tr>
                      </w:tbl>
                      <w:p w14:paraId="624B575F"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1868551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E44C2" w14:paraId="652335B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E44C2" w14:paraId="3254D04E" w14:textId="77777777">
                                      <w:tc>
                                        <w:tcPr>
                                          <w:tcW w:w="0" w:type="auto"/>
                                          <w:shd w:val="clear" w:color="auto" w:fill="4B6AA2"/>
                                          <w:tcMar>
                                            <w:top w:w="270" w:type="dxa"/>
                                            <w:left w:w="270" w:type="dxa"/>
                                            <w:bottom w:w="270" w:type="dxa"/>
                                            <w:right w:w="270" w:type="dxa"/>
                                          </w:tcMar>
                                          <w:hideMark/>
                                        </w:tcPr>
                                        <w:p w14:paraId="7F63CA4C" w14:textId="77777777" w:rsidR="006E44C2" w:rsidRDefault="006E44C2">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7AC7FC33" w14:textId="77777777" w:rsidR="006E44C2" w:rsidRDefault="006E44C2">
                                    <w:pPr>
                                      <w:rPr>
                                        <w:rFonts w:ascii="Times New Roman" w:hAnsi="Times New Roman"/>
                                      </w:rPr>
                                    </w:pPr>
                                  </w:p>
                                </w:tc>
                              </w:tr>
                            </w:tbl>
                            <w:p w14:paraId="12D1DF18" w14:textId="77777777" w:rsidR="006E44C2" w:rsidRDefault="006E44C2"/>
                          </w:tc>
                        </w:tr>
                      </w:tbl>
                      <w:p w14:paraId="7596189E"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715B4C2A" w14:textId="77777777">
                          <w:tc>
                            <w:tcPr>
                              <w:tcW w:w="0" w:type="auto"/>
                              <w:tcMar>
                                <w:top w:w="135" w:type="dxa"/>
                                <w:left w:w="0" w:type="dxa"/>
                                <w:bottom w:w="0" w:type="dxa"/>
                                <w:right w:w="0" w:type="dxa"/>
                              </w:tcMar>
                              <w:hideMark/>
                            </w:tcPr>
                            <w:p w14:paraId="1693F0AF" w14:textId="77777777" w:rsidR="006E44C2" w:rsidRDefault="006E44C2" w:rsidP="006E44C2">
                              <w:pPr>
                                <w:numPr>
                                  <w:ilvl w:val="0"/>
                                  <w:numId w:val="21"/>
                                </w:numPr>
                                <w:shd w:val="clear" w:color="auto" w:fill="F5F5F5"/>
                                <w:spacing w:before="100" w:beforeAutospacing="1" w:after="75"/>
                                <w:ind w:left="0"/>
                                <w:rPr>
                                  <w:rFonts w:ascii="Verdana" w:eastAsia="Times New Roman" w:hAnsi="Verdana"/>
                                  <w:color w:val="222222"/>
                                </w:rPr>
                              </w:pPr>
                              <w:r>
                                <w:rPr>
                                  <w:rFonts w:ascii="Helvetica Neue" w:hAnsi="Helvetica Neue"/>
                                  <w:color w:val="222222"/>
                                  <w:sz w:val="18"/>
                                  <w:szCs w:val="18"/>
                                </w:rPr>
                                <w:t>Writing in </w:t>
                              </w:r>
                              <w:r>
                                <w:rPr>
                                  <w:rStyle w:val="Emphasis"/>
                                  <w:rFonts w:ascii="Helvetica Neue" w:hAnsi="Helvetica Neue"/>
                                  <w:color w:val="222222"/>
                                  <w:sz w:val="18"/>
                                  <w:szCs w:val="18"/>
                                </w:rPr>
                                <w:t>Psyche</w:t>
                              </w:r>
                              <w:r>
                                <w:rPr>
                                  <w:rFonts w:ascii="Helvetica Neue" w:hAnsi="Helvetica Neue"/>
                                  <w:color w:val="222222"/>
                                  <w:sz w:val="18"/>
                                  <w:szCs w:val="18"/>
                                </w:rPr>
                                <w:t>, UCLA's Andrew Little and Colombia's Matthew Backus </w:t>
                              </w:r>
                              <w:hyperlink r:id="rId32" w:tgtFrame="_blank" w:history="1">
                                <w:r>
                                  <w:rPr>
                                    <w:rStyle w:val="Hyperlink"/>
                                    <w:rFonts w:ascii="Helvetica Neue" w:hAnsi="Helvetica Neue"/>
                                    <w:b/>
                                    <w:bCs/>
                                    <w:color w:val="4C6AA2"/>
                                    <w:sz w:val="18"/>
                                    <w:szCs w:val="18"/>
                                    <w:u w:val="none"/>
                                  </w:rPr>
                                  <w:t>argue</w:t>
                                </w:r>
                              </w:hyperlink>
                              <w:r>
                                <w:rPr>
                                  <w:rFonts w:ascii="Helvetica Neue" w:hAnsi="Helvetica Neue"/>
                                  <w:color w:val="222222"/>
                                  <w:sz w:val="18"/>
                                  <w:szCs w:val="18"/>
                                </w:rPr>
                                <w:t> that what sets experts aside from pundits is that they know what they don't know, a trait the public under-appreciates. </w:t>
                              </w:r>
                            </w:p>
                            <w:p w14:paraId="448539E6" w14:textId="77777777" w:rsidR="006E44C2" w:rsidRDefault="006E44C2" w:rsidP="006E44C2">
                              <w:pPr>
                                <w:numPr>
                                  <w:ilvl w:val="0"/>
                                  <w:numId w:val="21"/>
                                </w:numPr>
                                <w:shd w:val="clear" w:color="auto" w:fill="F5F5F5"/>
                                <w:spacing w:before="100" w:beforeAutospacing="1" w:after="75"/>
                                <w:ind w:left="0"/>
                                <w:rPr>
                                  <w:rFonts w:ascii="Verdana" w:hAnsi="Verdana"/>
                                  <w:color w:val="222222"/>
                                </w:rPr>
                              </w:pPr>
                              <w:r>
                                <w:rPr>
                                  <w:rFonts w:ascii="Helvetica Neue" w:hAnsi="Helvetica Neue"/>
                                  <w:color w:val="222222"/>
                                  <w:sz w:val="18"/>
                                  <w:szCs w:val="18"/>
                                </w:rPr>
                                <w:t>For the Australian Strategic Policy Institute's </w:t>
                              </w:r>
                              <w:r>
                                <w:rPr>
                                  <w:rStyle w:val="Emphasis"/>
                                  <w:rFonts w:ascii="Helvetica Neue" w:hAnsi="Helvetica Neue"/>
                                  <w:color w:val="222222"/>
                                  <w:sz w:val="18"/>
                                  <w:szCs w:val="18"/>
                                </w:rPr>
                                <w:t>The Strategist</w:t>
                              </w:r>
                              <w:r>
                                <w:rPr>
                                  <w:rFonts w:ascii="Helvetica Neue" w:hAnsi="Helvetica Neue"/>
                                  <w:color w:val="222222"/>
                                  <w:sz w:val="18"/>
                                  <w:szCs w:val="18"/>
                                </w:rPr>
                                <w:t>, Graeme Dobell </w:t>
                              </w:r>
                              <w:hyperlink r:id="rId33" w:tgtFrame="_blank" w:history="1">
                                <w:r>
                                  <w:rPr>
                                    <w:rStyle w:val="Hyperlink"/>
                                    <w:rFonts w:ascii="Helvetica Neue" w:hAnsi="Helvetica Neue"/>
                                    <w:b/>
                                    <w:bCs/>
                                    <w:color w:val="4C6AA2"/>
                                    <w:sz w:val="18"/>
                                    <w:szCs w:val="18"/>
                                    <w:u w:val="none"/>
                                  </w:rPr>
                                  <w:t>reviews</w:t>
                                </w:r>
                              </w:hyperlink>
                              <w:r>
                                <w:rPr>
                                  <w:rFonts w:ascii="Helvetica Neue" w:hAnsi="Helvetica Neue"/>
                                  <w:color w:val="222222"/>
                                  <w:sz w:val="18"/>
                                  <w:szCs w:val="18"/>
                                </w:rPr>
                                <w:t> the book </w:t>
                              </w:r>
                              <w:hyperlink r:id="rId34" w:tgtFrame="_blank" w:history="1">
                                <w:r>
                                  <w:rPr>
                                    <w:rStyle w:val="Emphasis"/>
                                    <w:rFonts w:ascii="Helvetica Neue" w:hAnsi="Helvetica Neue"/>
                                    <w:b/>
                                    <w:bCs/>
                                    <w:color w:val="4C6AA2"/>
                                    <w:sz w:val="18"/>
                                    <w:szCs w:val="18"/>
                                  </w:rPr>
                                  <w:t>Do Morals Matter? Presidents and foreign policy from FDR to Trump</w:t>
                                </w:r>
                              </w:hyperlink>
                              <w:r>
                                <w:rPr>
                                  <w:rFonts w:ascii="Helvetica Neue" w:hAnsi="Helvetica Neue"/>
                                  <w:color w:val="222222"/>
                                  <w:sz w:val="18"/>
                                  <w:szCs w:val="18"/>
                                </w:rPr>
                                <w:t> written by Joseph Nye.</w:t>
                              </w:r>
                            </w:p>
                            <w:p w14:paraId="460AFB9B" w14:textId="77777777" w:rsidR="006E44C2" w:rsidRDefault="006E44C2" w:rsidP="006E44C2">
                              <w:pPr>
                                <w:numPr>
                                  <w:ilvl w:val="0"/>
                                  <w:numId w:val="21"/>
                                </w:numPr>
                                <w:shd w:val="clear" w:color="auto" w:fill="F5F5F5"/>
                                <w:spacing w:before="100" w:beforeAutospacing="1" w:after="75"/>
                                <w:ind w:left="0"/>
                                <w:rPr>
                                  <w:rFonts w:ascii="Verdana" w:hAnsi="Verdana"/>
                                  <w:color w:val="222222"/>
                                </w:rPr>
                              </w:pPr>
                              <w:r>
                                <w:rPr>
                                  <w:rFonts w:ascii="Helvetica Neue" w:hAnsi="Helvetica Neue"/>
                                  <w:color w:val="222222"/>
                                  <w:sz w:val="18"/>
                                  <w:szCs w:val="18"/>
                                </w:rPr>
                                <w:t>John Edwards </w:t>
                              </w:r>
                              <w:hyperlink r:id="rId35" w:tgtFrame="_blank" w:history="1">
                                <w:r>
                                  <w:rPr>
                                    <w:rStyle w:val="Hyperlink"/>
                                    <w:rFonts w:ascii="Helvetica Neue" w:hAnsi="Helvetica Neue"/>
                                    <w:b/>
                                    <w:bCs/>
                                    <w:color w:val="4C6AA2"/>
                                    <w:sz w:val="18"/>
                                    <w:szCs w:val="18"/>
                                    <w:u w:val="none"/>
                                  </w:rPr>
                                  <w:t>analyses</w:t>
                                </w:r>
                              </w:hyperlink>
                              <w:r>
                                <w:rPr>
                                  <w:rFonts w:ascii="Helvetica Neue" w:hAnsi="Helvetica Neue"/>
                                  <w:color w:val="222222"/>
                                  <w:sz w:val="18"/>
                                  <w:szCs w:val="18"/>
                                </w:rPr>
                                <w:t> Australia's economic prospects in the post-COVID world, arguing that the recovery is already underway despite rising unemployment and government debt.</w:t>
                              </w:r>
                            </w:p>
                            <w:p w14:paraId="2E6334FD" w14:textId="77777777" w:rsidR="006E44C2" w:rsidRDefault="006E44C2" w:rsidP="006E44C2">
                              <w:pPr>
                                <w:numPr>
                                  <w:ilvl w:val="0"/>
                                  <w:numId w:val="21"/>
                                </w:numPr>
                                <w:shd w:val="clear" w:color="auto" w:fill="F5F5F5"/>
                                <w:spacing w:before="100" w:beforeAutospacing="1" w:after="75"/>
                                <w:ind w:left="0"/>
                                <w:rPr>
                                  <w:rFonts w:ascii="Verdana" w:hAnsi="Verdana"/>
                                  <w:color w:val="222222"/>
                                </w:rPr>
                              </w:pPr>
                              <w:r>
                                <w:rPr>
                                  <w:rFonts w:ascii="Helvetica Neue" w:hAnsi="Helvetica Neue"/>
                                  <w:color w:val="222222"/>
                                  <w:sz w:val="18"/>
                                  <w:szCs w:val="18"/>
                                </w:rPr>
                                <w:t xml:space="preserve">Peter </w:t>
                              </w:r>
                              <w:proofErr w:type="spellStart"/>
                              <w:r>
                                <w:rPr>
                                  <w:rFonts w:ascii="Helvetica Neue" w:hAnsi="Helvetica Neue"/>
                                  <w:color w:val="222222"/>
                                  <w:sz w:val="18"/>
                                  <w:szCs w:val="18"/>
                                </w:rPr>
                                <w:t>Hartcher</w:t>
                              </w:r>
                              <w:proofErr w:type="spellEnd"/>
                              <w:r>
                                <w:rPr>
                                  <w:rFonts w:ascii="Helvetica Neue" w:hAnsi="Helvetica Neue"/>
                                  <w:color w:val="222222"/>
                                  <w:sz w:val="18"/>
                                  <w:szCs w:val="18"/>
                                </w:rPr>
                                <w:t xml:space="preserve"> discusses how bubbling discontent in Thailand has </w:t>
                              </w:r>
                              <w:hyperlink r:id="rId36" w:history="1">
                                <w:r>
                                  <w:rPr>
                                    <w:rStyle w:val="Hyperlink"/>
                                    <w:rFonts w:ascii="Helvetica Neue" w:hAnsi="Helvetica Neue"/>
                                    <w:b/>
                                    <w:bCs/>
                                    <w:color w:val="4C6AA2"/>
                                    <w:sz w:val="18"/>
                                    <w:szCs w:val="18"/>
                                    <w:u w:val="none"/>
                                  </w:rPr>
                                  <w:t>escalated</w:t>
                                </w:r>
                              </w:hyperlink>
                              <w:r>
                                <w:rPr>
                                  <w:rFonts w:ascii="Helvetica Neue" w:hAnsi="Helvetica Neue"/>
                                  <w:color w:val="222222"/>
                                  <w:sz w:val="18"/>
                                  <w:szCs w:val="18"/>
                                </w:rPr>
                                <w:t> into sustained protest activity, with a focus on the role of the King in politics and society.</w:t>
                              </w:r>
                            </w:p>
                            <w:p w14:paraId="2EF492EC" w14:textId="77777777" w:rsidR="006E44C2" w:rsidRDefault="006E44C2" w:rsidP="006E44C2">
                              <w:pPr>
                                <w:numPr>
                                  <w:ilvl w:val="0"/>
                                  <w:numId w:val="21"/>
                                </w:numPr>
                                <w:shd w:val="clear" w:color="auto" w:fill="F5F5F5"/>
                                <w:spacing w:before="100" w:beforeAutospacing="1" w:after="75"/>
                                <w:ind w:left="0"/>
                                <w:rPr>
                                  <w:rFonts w:ascii="Verdana" w:hAnsi="Verdana"/>
                                  <w:color w:val="222222"/>
                                </w:rPr>
                              </w:pPr>
                              <w:r>
                                <w:rPr>
                                  <w:rFonts w:ascii="Helvetica Neue" w:hAnsi="Helvetica Neue"/>
                                  <w:color w:val="000000"/>
                                  <w:sz w:val="18"/>
                                  <w:szCs w:val="18"/>
                                </w:rPr>
                                <w:t>As the world enters difficult times, Ross Gittins </w:t>
                              </w:r>
                              <w:hyperlink r:id="rId37" w:history="1">
                                <w:r>
                                  <w:rPr>
                                    <w:rStyle w:val="Hyperlink"/>
                                    <w:rFonts w:ascii="Helvetica Neue" w:hAnsi="Helvetica Neue"/>
                                    <w:b/>
                                    <w:bCs/>
                                    <w:color w:val="4C6AA2"/>
                                    <w:sz w:val="18"/>
                                    <w:szCs w:val="18"/>
                                    <w:u w:val="none"/>
                                  </w:rPr>
                                  <w:t>reminds us</w:t>
                                </w:r>
                              </w:hyperlink>
                              <w:r>
                                <w:rPr>
                                  <w:rFonts w:ascii="Helvetica Neue" w:hAnsi="Helvetica Neue"/>
                                  <w:color w:val="000000"/>
                                  <w:sz w:val="18"/>
                                  <w:szCs w:val="18"/>
                                </w:rPr>
                                <w:t> of the importance of maintaining the effectiveness of the World Trade Organisation.</w:t>
                              </w:r>
                            </w:p>
                            <w:p w14:paraId="6C220D0B" w14:textId="77777777" w:rsidR="006E44C2" w:rsidRDefault="006E44C2">
                              <w:pPr>
                                <w:rPr>
                                  <w:rFonts w:ascii="Times New Roman" w:hAnsi="Times New Roman"/>
                                </w:rPr>
                              </w:pPr>
                            </w:p>
                          </w:tc>
                        </w:tr>
                      </w:tbl>
                      <w:p w14:paraId="5685DA1F"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44FD50A1"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E44C2" w14:paraId="72F0A5DA" w14:textId="77777777">
                                <w:tc>
                                  <w:tcPr>
                                    <w:tcW w:w="0" w:type="auto"/>
                                    <w:vAlign w:val="center"/>
                                    <w:hideMark/>
                                  </w:tcPr>
                                  <w:p w14:paraId="680DC2A2" w14:textId="77777777" w:rsidR="006E44C2" w:rsidRDefault="006E44C2"/>
                                </w:tc>
                              </w:tr>
                            </w:tbl>
                            <w:p w14:paraId="151796B5" w14:textId="77777777" w:rsidR="006E44C2" w:rsidRDefault="006E44C2"/>
                          </w:tc>
                        </w:tr>
                      </w:tbl>
                      <w:p w14:paraId="450B1724"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66D1649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E44C2" w14:paraId="316F6560"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E44C2" w14:paraId="33D46822" w14:textId="77777777">
                                      <w:tc>
                                        <w:tcPr>
                                          <w:tcW w:w="0" w:type="auto"/>
                                          <w:shd w:val="clear" w:color="auto" w:fill="4B6AA2"/>
                                          <w:tcMar>
                                            <w:top w:w="270" w:type="dxa"/>
                                            <w:left w:w="270" w:type="dxa"/>
                                            <w:bottom w:w="270" w:type="dxa"/>
                                            <w:right w:w="270" w:type="dxa"/>
                                          </w:tcMar>
                                          <w:hideMark/>
                                        </w:tcPr>
                                        <w:p w14:paraId="55839412" w14:textId="77777777" w:rsidR="006E44C2" w:rsidRDefault="006E44C2">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76ABA1E9" w14:textId="77777777" w:rsidR="006E44C2" w:rsidRDefault="006E44C2">
                                    <w:pPr>
                                      <w:rPr>
                                        <w:rFonts w:ascii="Times New Roman" w:hAnsi="Times New Roman"/>
                                      </w:rPr>
                                    </w:pPr>
                                  </w:p>
                                </w:tc>
                              </w:tr>
                            </w:tbl>
                            <w:p w14:paraId="1990E5ED" w14:textId="77777777" w:rsidR="006E44C2" w:rsidRDefault="006E44C2"/>
                          </w:tc>
                        </w:tr>
                      </w:tbl>
                      <w:p w14:paraId="0A0D47EF"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3FC3DF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E44C2" w14:paraId="585383B9" w14:textId="77777777">
                                <w:tc>
                                  <w:tcPr>
                                    <w:tcW w:w="0" w:type="auto"/>
                                    <w:tcMar>
                                      <w:top w:w="0" w:type="dxa"/>
                                      <w:left w:w="270" w:type="dxa"/>
                                      <w:bottom w:w="135" w:type="dxa"/>
                                      <w:right w:w="270" w:type="dxa"/>
                                    </w:tcMar>
                                    <w:hideMark/>
                                  </w:tcPr>
                                  <w:p w14:paraId="3A8D4316" w14:textId="77777777" w:rsidR="006E44C2" w:rsidRDefault="006E44C2">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8"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16F13D28" w14:textId="77777777" w:rsidR="006E44C2" w:rsidRDefault="006E44C2">
                              <w:pPr>
                                <w:rPr>
                                  <w:rFonts w:ascii="Times New Roman" w:hAnsi="Times New Roman"/>
                                </w:rPr>
                              </w:pPr>
                            </w:p>
                          </w:tc>
                        </w:tr>
                      </w:tbl>
                      <w:p w14:paraId="5850E66A" w14:textId="77777777" w:rsidR="006E44C2" w:rsidRDefault="006E44C2">
                        <w:pPr>
                          <w:rPr>
                            <w:vanish/>
                          </w:rPr>
                        </w:pPr>
                      </w:p>
                      <w:tbl>
                        <w:tblPr>
                          <w:tblW w:w="5000" w:type="pct"/>
                          <w:tblCellMar>
                            <w:left w:w="0" w:type="dxa"/>
                            <w:right w:w="0" w:type="dxa"/>
                          </w:tblCellMar>
                          <w:tblLook w:val="04A0" w:firstRow="1" w:lastRow="0" w:firstColumn="1" w:lastColumn="0" w:noHBand="0" w:noVBand="1"/>
                        </w:tblPr>
                        <w:tblGrid>
                          <w:gridCol w:w="10198"/>
                        </w:tblGrid>
                        <w:tr w:rsidR="006E44C2" w14:paraId="5D714ACD"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E44C2" w14:paraId="64D8FD96" w14:textId="77777777">
                                <w:tc>
                                  <w:tcPr>
                                    <w:tcW w:w="0" w:type="auto"/>
                                    <w:vAlign w:val="center"/>
                                    <w:hideMark/>
                                  </w:tcPr>
                                  <w:p w14:paraId="32A4518B" w14:textId="77777777" w:rsidR="006E44C2" w:rsidRDefault="006E44C2"/>
                                </w:tc>
                              </w:tr>
                            </w:tbl>
                            <w:p w14:paraId="73855741" w14:textId="77777777" w:rsidR="006E44C2" w:rsidRDefault="006E44C2"/>
                          </w:tc>
                        </w:tr>
                      </w:tbl>
                      <w:p w14:paraId="5E4F93C8" w14:textId="77777777" w:rsidR="006E44C2" w:rsidRDefault="006E44C2"/>
                    </w:tc>
                  </w:tr>
                </w:tbl>
                <w:p w14:paraId="4E4BA9C4" w14:textId="77777777" w:rsidR="006E44C2" w:rsidRDefault="006E44C2">
                  <w:pPr>
                    <w:jc w:val="center"/>
                  </w:pPr>
                </w:p>
              </w:tc>
            </w:tr>
          </w:tbl>
          <w:p w14:paraId="28DFCAFE" w14:textId="77777777" w:rsidR="006E44C2" w:rsidRDefault="006E44C2">
            <w:pPr>
              <w:jc w:val="center"/>
              <w:rPr>
                <w:rFonts w:ascii="Times" w:hAnsi="Times"/>
                <w:color w:val="000000"/>
                <w:sz w:val="27"/>
                <w:szCs w:val="27"/>
              </w:rPr>
            </w:pPr>
          </w:p>
        </w:tc>
      </w:tr>
      <w:tr w:rsidR="006E44C2" w14:paraId="43FA8900" w14:textId="77777777" w:rsidTr="006E44C2">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6E44C2" w14:paraId="5B75FEB2"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6E44C2" w14:paraId="4C6569C0"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6E44C2" w14:paraId="39111BAC" w14:textId="77777777">
                          <w:tc>
                            <w:tcPr>
                              <w:tcW w:w="0" w:type="auto"/>
                              <w:hideMark/>
                            </w:tcPr>
                            <w:p w14:paraId="0BB1A4EF" w14:textId="77777777" w:rsidR="006E44C2" w:rsidRDefault="006E44C2">
                              <w:pPr>
                                <w:jc w:val="center"/>
                                <w:rPr>
                                  <w:sz w:val="20"/>
                                  <w:szCs w:val="20"/>
                                </w:rPr>
                              </w:pPr>
                            </w:p>
                          </w:tc>
                        </w:tr>
                      </w:tbl>
                      <w:p w14:paraId="605F6DD3" w14:textId="77777777" w:rsidR="006E44C2" w:rsidRDefault="006E44C2"/>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6E44C2" w14:paraId="065FF63B" w14:textId="77777777">
                          <w:tc>
                            <w:tcPr>
                              <w:tcW w:w="0" w:type="auto"/>
                              <w:hideMark/>
                            </w:tcPr>
                            <w:p w14:paraId="48051769" w14:textId="77777777" w:rsidR="006E44C2" w:rsidRDefault="006E44C2">
                              <w:pPr>
                                <w:rPr>
                                  <w:sz w:val="20"/>
                                  <w:szCs w:val="20"/>
                                </w:rPr>
                              </w:pPr>
                            </w:p>
                          </w:tc>
                        </w:tr>
                      </w:tbl>
                      <w:p w14:paraId="2A75FC2B" w14:textId="77777777" w:rsidR="006E44C2" w:rsidRDefault="006E44C2"/>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6E44C2" w14:paraId="40E3BEB7" w14:textId="77777777">
                          <w:tc>
                            <w:tcPr>
                              <w:tcW w:w="0" w:type="auto"/>
                              <w:hideMark/>
                            </w:tcPr>
                            <w:p w14:paraId="0B57C315" w14:textId="77777777" w:rsidR="006E44C2" w:rsidRDefault="006E44C2">
                              <w:pPr>
                                <w:rPr>
                                  <w:sz w:val="20"/>
                                  <w:szCs w:val="20"/>
                                </w:rPr>
                              </w:pPr>
                            </w:p>
                          </w:tc>
                        </w:tr>
                      </w:tbl>
                      <w:p w14:paraId="7C185442" w14:textId="77777777" w:rsidR="006E44C2" w:rsidRDefault="006E44C2"/>
                    </w:tc>
                  </w:tr>
                </w:tbl>
                <w:p w14:paraId="6996DBAA" w14:textId="77777777" w:rsidR="006E44C2" w:rsidRDefault="006E44C2">
                  <w:pPr>
                    <w:jc w:val="center"/>
                  </w:pPr>
                </w:p>
              </w:tc>
            </w:tr>
          </w:tbl>
          <w:p w14:paraId="58B8C8C1" w14:textId="77777777" w:rsidR="006E44C2" w:rsidRDefault="006E44C2">
            <w:pPr>
              <w:jc w:val="cente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D0F19"/>
    <w:multiLevelType w:val="multilevel"/>
    <w:tmpl w:val="BE44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D54F98"/>
    <w:multiLevelType w:val="multilevel"/>
    <w:tmpl w:val="7FEE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ED0E04"/>
    <w:multiLevelType w:val="multilevel"/>
    <w:tmpl w:val="CDCA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DA038C"/>
    <w:multiLevelType w:val="multilevel"/>
    <w:tmpl w:val="7B8A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
  </w:num>
  <w:num w:numId="3">
    <w:abstractNumId w:val="10"/>
  </w:num>
  <w:num w:numId="4">
    <w:abstractNumId w:val="9"/>
  </w:num>
  <w:num w:numId="5">
    <w:abstractNumId w:val="2"/>
  </w:num>
  <w:num w:numId="6">
    <w:abstractNumId w:val="11"/>
  </w:num>
  <w:num w:numId="7">
    <w:abstractNumId w:val="12"/>
  </w:num>
  <w:num w:numId="8">
    <w:abstractNumId w:val="5"/>
  </w:num>
  <w:num w:numId="9">
    <w:abstractNumId w:val="14"/>
  </w:num>
  <w:num w:numId="10">
    <w:abstractNumId w:val="6"/>
  </w:num>
  <w:num w:numId="11">
    <w:abstractNumId w:val="8"/>
  </w:num>
  <w:num w:numId="12">
    <w:abstractNumId w:val="15"/>
  </w:num>
  <w:num w:numId="13">
    <w:abstractNumId w:val="3"/>
  </w:num>
  <w:num w:numId="14">
    <w:abstractNumId w:val="17"/>
  </w:num>
  <w:num w:numId="15">
    <w:abstractNumId w:val="0"/>
  </w:num>
  <w:num w:numId="16">
    <w:abstractNumId w:val="13"/>
  </w:num>
  <w:num w:numId="17">
    <w:abstractNumId w:val="19"/>
  </w:num>
  <w:num w:numId="18">
    <w:abstractNumId w:val="1"/>
  </w:num>
  <w:num w:numId="19">
    <w:abstractNumId w:val="20"/>
  </w:num>
  <w:num w:numId="20">
    <w:abstractNumId w:val="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B10FE"/>
    <w:rsid w:val="00265116"/>
    <w:rsid w:val="003127A5"/>
    <w:rsid w:val="00446DA3"/>
    <w:rsid w:val="00500F2A"/>
    <w:rsid w:val="00620940"/>
    <w:rsid w:val="006E44C2"/>
    <w:rsid w:val="00830447"/>
    <w:rsid w:val="008650B2"/>
    <w:rsid w:val="00973806"/>
    <w:rsid w:val="00B04A33"/>
    <w:rsid w:val="00C2491D"/>
    <w:rsid w:val="00C30442"/>
    <w:rsid w:val="00CA182F"/>
    <w:rsid w:val="00D334F3"/>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46868888">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194612158">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529416923">
      <w:bodyDiv w:val="1"/>
      <w:marLeft w:val="0"/>
      <w:marRight w:val="0"/>
      <w:marTop w:val="0"/>
      <w:marBottom w:val="0"/>
      <w:divBdr>
        <w:top w:val="none" w:sz="0" w:space="0" w:color="auto"/>
        <w:left w:val="none" w:sz="0" w:space="0" w:color="auto"/>
        <w:bottom w:val="none" w:sz="0" w:space="0" w:color="auto"/>
        <w:right w:val="none" w:sz="0" w:space="0" w:color="auto"/>
      </w:divBdr>
    </w:div>
    <w:div w:id="1624769761">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jazeera.com/news/2020/08/donald-trump-expects-saudi-arabia-join-uae-israel-deal-200820070824861.html" TargetMode="External"/><Relationship Id="rId18" Type="http://schemas.openxmlformats.org/officeDocument/2006/relationships/hyperlink" Target="https://www.newyorker.com/magazine/2020/08/17/how-china-controlled-the-coronavirus" TargetMode="External"/><Relationship Id="rId26" Type="http://schemas.openxmlformats.org/officeDocument/2006/relationships/hyperlink" Target="https://foreignpolicy.com/2020/08/21/mali-coup-history-violence-collapse/" TargetMode="External"/><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hyperlink" Target="https://global.oup.com/academic/product/do-morals-matter-9780190935962?cc=us&amp;lang=en&amp;" TargetMode="External"/><Relationship Id="rId7" Type="http://schemas.openxmlformats.org/officeDocument/2006/relationships/image" Target="media/image3.jpeg"/><Relationship Id="rId12" Type="http://schemas.openxmlformats.org/officeDocument/2006/relationships/hyperlink" Target="https://www.aljazeera.com/news/2020/08/uae-israel-deal-remove-hurdle-35-sales-200821120108765.html"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hyperlink" Target="https://www.aspistrategist.org.au/from-the-bookshelf-do-morals-matter-in-us-foreign-policy/" TargetMode="External"/><Relationship Id="rId38"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hyperlink" Target="https://www.flickr.com/photos/statephotos/50263270972/in/album-72157715617674947/" TargetMode="External"/><Relationship Id="rId20" Type="http://schemas.openxmlformats.org/officeDocument/2006/relationships/hyperlink" Target="https://www.flickr.com/photos/luzhouzjy/9191395880/in/photolist-f1diLL-nd2FHX-nf55aZ-nf7txf-nd2CAe-nf7k39-nd2CQx-nd2Akc-nf6Kt5-nd2DnK-nd1vdG-nd1skX-nd1uCU-nd24h1-5eVEyg-nf3WXK-nd2ckL-nd22uC-nd24Ee-nd1x9u-nf4ufV-nd1xS3-nf3kC6-nd29Ab-nf4eDi-nd1vHo-nd1z2N-nd4nne-nd1uFo-nd3QYD-nf4g5K-nf4fxT-nf6PQR-nf3Vox-nd1uZu-nf4dri-nd4r7t-nf5UFB-nf6QLj-nf6cyo-nd1pNH-nf4cdB-nd1tqo-nd1wzd-nd3w4Q-nf5jvG-nd1rBc-nd21Ai-nd1sUo-nf4da6"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bc.com/news/world-middle-east-51288218" TargetMode="External"/><Relationship Id="rId24" Type="http://schemas.openxmlformats.org/officeDocument/2006/relationships/hyperlink" Target="https://www.flickr.com/photos/compacflt/28070687574/in/photolist-JLvBrY-57awtK-2am7bA1-2hkEWAV-xYwe2S-6Qm2jK-MSH37h-o4d9JH-DTSkDZ-2gvNkbG-H8wi9D-PTVeHt-KxFiBh-KxnqNb-22wLC1S-2hm94ME-EiW25w-LcPjvE-FwWNrq-QxPLej-QxQcZN-XvfghB-waM3a3-cJhHSJ-RAcm7i-q1ZGMZ-K7KSmX-KBxe1q-KAgfpP-YC9Gb4-vgefPV-wcrpaJ-5kK1rY-PQGUc7-vVv99f-vVvEc3-JGf4Ez-wd8AGK-PHHU2x-Kcys6o-pRScDH-igojFa-rvkrk9-73CKzJ-phjoUk-7GsMtp-igobTj-GjQxMg-9t7LyT-D6cUsv" TargetMode="External"/><Relationship Id="rId32" Type="http://schemas.openxmlformats.org/officeDocument/2006/relationships/hyperlink" Target="https://aeon.co/essays/real-experts-know-what-they-dont-know-and-we-should-value-it" TargetMode="External"/><Relationship Id="rId37" Type="http://schemas.openxmlformats.org/officeDocument/2006/relationships/hyperlink" Target="https://www.smh.com.au/business/the-economy/well-done-chaps-wto-future-is-in-danger-just-when-we-need-it-most-20200814-p55lr2.html"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internationalaffairs.org.au/australianoutlook/israel-and-the-united-arab-emirates-strike-an-historic-peace-agreement/" TargetMode="External"/><Relationship Id="rId23" Type="http://schemas.openxmlformats.org/officeDocument/2006/relationships/hyperlink" Target="https://www.rand.org/pubs/research_reports/RR2798.html" TargetMode="External"/><Relationship Id="rId28" Type="http://schemas.openxmlformats.org/officeDocument/2006/relationships/hyperlink" Target="https://www.flickr.com/photos/chugues/2264911214/in/photolist-4s9gcm-7F3ohm-7oHn1m-7oCjPH-ovU1F-7oGdTW-4rbH2B-7oHoyj-7F3k3m-7EYpG6-7F3m6Y-ovU1x-gyA9AS-5fq6k-MjS3Jn-yC11-7EYnWv-BaYb-7EYkjK-ddUqBd-BaNW-7ogo7o-5fpTc-7EYfia-yLEm-4rfUMy-Bb2B-7EYv6T-yLdS-7F3mp1-ddUpN6-7EYoc8-ovU1H-N3Dea-Na4GLH-4rfWTy-B3Ec-ddUqFW-7oHo8W-z19S-7ocuS6-7EXDFX-BbMR-ddUufr-4pfMM4-7EYoT6-dr33Ef-7EYud4-7om6CY-7oHpEY" TargetMode="External"/><Relationship Id="rId36" Type="http://schemas.openxmlformats.org/officeDocument/2006/relationships/hyperlink" Target="https://www.smh.com.au/world/asia/to-anyone-familiar-with-thailand-what-s-happening-is-breathtaking-20200824-p55opm.html" TargetMode="External"/><Relationship Id="rId10" Type="http://schemas.openxmlformats.org/officeDocument/2006/relationships/hyperlink" Target="https://www.theguardian.com/world/2020/aug/13/foe-of-a-foe-interests-uae-friend-of-israel-conventions-us-trump-iran" TargetMode="External"/><Relationship Id="rId19" Type="http://schemas.openxmlformats.org/officeDocument/2006/relationships/hyperlink" Target="https://www.newyorker.com/magazine/2020/08/17/how-china-controlled-the-coronavirus" TargetMode="External"/><Relationship Id="rId31" Type="http://schemas.openxmlformats.org/officeDocument/2006/relationships/hyperlink" Target="http://www.internationalaffairs.org.au/australianoutlook/banning-tiktok-is-a-distraction-from-broader-threats-of-chinese-digital-espionage/" TargetMode="External"/><Relationship Id="rId4" Type="http://schemas.openxmlformats.org/officeDocument/2006/relationships/webSettings" Target="webSettings.xml"/><Relationship Id="rId9" Type="http://schemas.openxmlformats.org/officeDocument/2006/relationships/hyperlink" Target="https://www.theguardian.com/commentisfree/2020/aug/14/the-israel-uae-deal-will-make-a-one-state-solution-even-more-unlikely" TargetMode="External"/><Relationship Id="rId14" Type="http://schemas.openxmlformats.org/officeDocument/2006/relationships/hyperlink" Target="https://www.aljazeera.com/programmes/newsfeed/2020/08/agreement-uae-israel-200824080336441.html" TargetMode="External"/><Relationship Id="rId22" Type="http://schemas.openxmlformats.org/officeDocument/2006/relationships/hyperlink" Target="https://www.rand.org/pubs/research_reports/RR2798.html" TargetMode="External"/><Relationship Id="rId27" Type="http://schemas.openxmlformats.org/officeDocument/2006/relationships/hyperlink" Target="https://foreignpolicy.com/2020/08/21/mali-coup-history-violence-collapse/" TargetMode="External"/><Relationship Id="rId30" Type="http://schemas.openxmlformats.org/officeDocument/2006/relationships/hyperlink" Target="http://www.internationalaffairs.org.au/australianoutlook/banning-tiktok-is-a-distraction-from-broader-threats-of-chinese-digital-espionage/" TargetMode="External"/><Relationship Id="rId35" Type="http://schemas.openxmlformats.org/officeDocument/2006/relationships/hyperlink" Target="https://www.lowyinstitute.org/publications/costs-covid-australia-economic-prospects-wounded-world" TargetMode="External"/><Relationship Id="rId8" Type="http://schemas.openxmlformats.org/officeDocument/2006/relationships/hyperlink" Target="https://www.aljazeera.com/news/2020/08/israel-uae-announce-normalisation-relations-200813145645861.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2033</Words>
  <Characters>11593</Characters>
  <Application>Microsoft Office Word</Application>
  <DocSecurity>0</DocSecurity>
  <Lines>96</Lines>
  <Paragraphs>27</Paragraphs>
  <ScaleCrop>false</ScaleCrop>
  <Company/>
  <LinksUpToDate>false</LinksUpToDate>
  <CharactersWithSpaces>13599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2020-08-29T07:39:00Z</dcterms:created>
  <dcterms:modified xsi:type="dcterms:W3CDTF">2020-08-29T07:39:00Z</dcterms:modified>
</cp:coreProperties>
</file>